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9A612">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w:t>
      </w:r>
    </w:p>
    <w:p w14:paraId="4C47DC8F">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6B30B0B">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color w:val="000000" w:themeColor="text1"/>
          <w:sz w:val="44"/>
          <w:szCs w:val="44"/>
          <w:highlight w:val="none"/>
          <w14:textFill>
            <w14:solidFill>
              <w14:schemeClr w14:val="tx1"/>
            </w14:solidFill>
          </w14:textFill>
        </w:rPr>
      </w:pPr>
      <w:r>
        <w:rPr>
          <w:rFonts w:hint="eastAsia" w:ascii="方正小标宋简体" w:hAnsi="Times New Roman" w:eastAsia="方正小标宋简体"/>
          <w:color w:val="000000" w:themeColor="text1"/>
          <w:sz w:val="44"/>
          <w:szCs w:val="44"/>
          <w:highlight w:val="none"/>
          <w14:textFill>
            <w14:solidFill>
              <w14:schemeClr w14:val="tx1"/>
            </w14:solidFill>
          </w14:textFill>
        </w:rPr>
        <w:t>新编《列国志》《国际组织志》丛书</w:t>
      </w:r>
      <w:r>
        <w:rPr>
          <w:rFonts w:hint="eastAsia" w:ascii="方正小标宋简体" w:hAnsi="Times New Roman" w:eastAsia="方正小标宋简体"/>
          <w:color w:val="000000" w:themeColor="text1"/>
          <w:sz w:val="44"/>
          <w:szCs w:val="44"/>
          <w:highlight w:val="none"/>
          <w14:textFill>
            <w14:solidFill>
              <w14:schemeClr w14:val="tx1"/>
            </w14:solidFill>
          </w14:textFill>
        </w:rPr>
        <w:br w:type="textWrapping"/>
      </w:r>
      <w:r>
        <w:rPr>
          <w:rFonts w:hint="eastAsia" w:ascii="方正小标宋简体" w:hAnsi="Times New Roman" w:eastAsia="方正小标宋简体" w:cs="Times New Roman"/>
          <w:color w:val="000000" w:themeColor="text1"/>
          <w:sz w:val="44"/>
          <w:szCs w:val="44"/>
          <w:highlight w:val="none"/>
          <w14:textFill>
            <w14:solidFill>
              <w14:schemeClr w14:val="tx1"/>
            </w14:solidFill>
          </w14:textFill>
        </w:rPr>
        <w:t>编撰出版体例要求</w:t>
      </w:r>
    </w:p>
    <w:p w14:paraId="1B2DB128">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ascii="仿宋" w:hAnsi="仿宋" w:eastAsia="仿宋" w:cs="仿宋"/>
          <w:b/>
          <w:bCs/>
          <w:color w:val="000000" w:themeColor="text1"/>
          <w:sz w:val="32"/>
          <w:szCs w:val="32"/>
          <w:highlight w:val="none"/>
          <w14:textFill>
            <w14:solidFill>
              <w14:schemeClr w14:val="tx1"/>
            </w14:solidFill>
          </w14:textFill>
        </w:rPr>
      </w:pPr>
    </w:p>
    <w:p w14:paraId="777F5ED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项目背景</w:t>
      </w:r>
    </w:p>
    <w:p w14:paraId="23AB46E2">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ascii="仿宋_GB2312" w:eastAsia="仿宋_GB2312" w:hAnsiTheme="minorEastAsia" w:cs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stheme="minorEastAsia"/>
          <w:color w:val="000000" w:themeColor="text1"/>
          <w:sz w:val="32"/>
          <w:szCs w:val="32"/>
          <w:highlight w:val="none"/>
          <w14:textFill>
            <w14:solidFill>
              <w14:schemeClr w14:val="tx1"/>
            </w14:solidFill>
          </w14:textFill>
        </w:rPr>
        <w:t>当今世界正经历百年未有之大变局，我国正处于实现中华民族伟大复兴的关键时期。党和国家十分重视区域国别研究工作，习近平总书记多次做出重要指示，强调研究外部世界的重要性。中宣部、教育部等党和国家有关部门多次发文，提出要采取多项措施，统筹发挥好学科发展、人才培养、智库建设的“三位一体”作用，提升区域国别研究质量，保证党中央的战略部署得到落实。作为基础研究项目，《列国志》《国际组织志》丛书称得上是新世纪以来中国区域国别研究的代表性成果</w:t>
      </w:r>
      <w:r>
        <w:rPr>
          <w:rFonts w:hint="eastAsia" w:ascii="仿宋_GB2312" w:eastAsia="仿宋_GB2312" w:hAnsiTheme="minorEastAsia" w:cstheme="minorEastAsia"/>
          <w:color w:val="000000" w:themeColor="text1"/>
          <w:sz w:val="32"/>
          <w:szCs w:val="32"/>
          <w:highlight w:val="none"/>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highlight w:val="none"/>
          <w14:textFill>
            <w14:solidFill>
              <w14:schemeClr w14:val="tx1"/>
            </w14:solidFill>
          </w14:textFill>
        </w:rPr>
        <w:t>在区域国别学被设为一级交叉学科的背景下，</w:t>
      </w:r>
      <w:r>
        <w:rPr>
          <w:rFonts w:hint="eastAsia" w:ascii="仿宋_GB2312" w:eastAsia="仿宋_GB2312" w:hAnsiTheme="minorEastAsia" w:cstheme="minorEastAsia"/>
          <w:color w:val="000000" w:themeColor="text1"/>
          <w:sz w:val="32"/>
          <w:szCs w:val="32"/>
          <w:highlight w:val="none"/>
          <w:lang w:val="en-US" w:eastAsia="zh-CN"/>
          <w14:textFill>
            <w14:solidFill>
              <w14:schemeClr w14:val="tx1"/>
            </w14:solidFill>
          </w14:textFill>
        </w:rPr>
        <w:t>中国社会科学院</w:t>
      </w:r>
      <w:r>
        <w:rPr>
          <w:rFonts w:hint="eastAsia" w:ascii="仿宋_GB2312" w:eastAsia="仿宋_GB2312" w:hAnsiTheme="minorEastAsia" w:cstheme="minorEastAsia"/>
          <w:color w:val="000000" w:themeColor="text1"/>
          <w:sz w:val="32"/>
          <w:szCs w:val="32"/>
          <w:highlight w:val="none"/>
          <w14:textFill>
            <w14:solidFill>
              <w14:schemeClr w14:val="tx1"/>
            </w14:solidFill>
          </w14:textFill>
        </w:rPr>
        <w:t>启动新编《列国志》《国际组织志》丛书项目出版工程，可以加强对中国新一代区域国别研究人才的培养，深化区域国别基础研究，推动中国区域国别学自主知识体系建设，进而为高质量共建“一带一路”，为中国参与全球治理、构建人类命运共同体提供智力支持。</w:t>
      </w:r>
    </w:p>
    <w:p w14:paraId="37B94A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theme="minorEastAsia"/>
          <w:color w:val="000000" w:themeColor="text1"/>
          <w:sz w:val="32"/>
          <w:szCs w:val="32"/>
          <w:highlight w:val="none"/>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总体规划、时代要求与调整方向</w:t>
      </w:r>
    </w:p>
    <w:p w14:paraId="6F6358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新编《列国志》《国际组织志》丛书项目出版工程计划完成196种《列国志》和60种《国际组织志》的编撰出版。</w:t>
      </w:r>
    </w:p>
    <w:p w14:paraId="04BE4C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《列国志》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国际组织志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作为历史延续性项目，前后已持续出版二十余年。二十多年间，国际形势风云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变幻</w:t>
      </w:r>
      <w:r>
        <w:rPr>
          <w:rFonts w:ascii="Times New Roman" w:hAnsi="Times New Roman" w:eastAsia="仿宋_GB2312" w:cs="Times New Roman"/>
          <w:color w:val="000000" w:themeColor="text1"/>
          <w:sz w:val="32"/>
          <w:szCs w:val="32"/>
          <w:highlight w:val="none"/>
          <w14:textFill>
            <w14:solidFill>
              <w14:schemeClr w14:val="tx1"/>
            </w14:solidFill>
          </w14:textFill>
        </w:rPr>
        <w:t>，世界各国都发生了很大变化，世界进入了一个大发展、大变革、大调整的重要历史时期。新时代提出新要求</w:t>
      </w:r>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w:t>
      </w:r>
      <w:bookmarkStart w:id="0" w:name="_Hlk200386974"/>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新编《列国志》《国际组织志》丛书</w:t>
      </w:r>
      <w:bookmarkEnd w:id="0"/>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以习近平新时代中国特色社会主义思想、习近平文化思想、习近平外交思想为指引，结合国家有关区域国别学学科建设的重要指示，立足于新时代中国特色区域国别学知识体系建设，致力于培养区域国别研究人才。</w:t>
      </w:r>
    </w:p>
    <w:p w14:paraId="3EF1FE31">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黑体" w:hAnsi="黑体" w:eastAsia="黑体" w:cs="黑体"/>
          <w:b w:val="0"/>
          <w:bCs w:val="0"/>
          <w:color w:val="000000" w:themeColor="text1"/>
          <w:spacing w:val="6"/>
          <w:sz w:val="32"/>
          <w:szCs w:val="32"/>
          <w:highlight w:val="none"/>
          <w14:textFill>
            <w14:solidFill>
              <w14:schemeClr w14:val="tx1"/>
            </w14:solidFill>
          </w14:textFill>
        </w:rPr>
      </w:pPr>
      <w:r>
        <w:rPr>
          <w:rFonts w:ascii="Times New Roman" w:hAnsi="Times New Roman" w:eastAsia="仿宋_GB2312" w:cs="Times New Roman"/>
          <w:color w:val="000000" w:themeColor="text1"/>
          <w:spacing w:val="6"/>
          <w:sz w:val="32"/>
          <w:szCs w:val="32"/>
          <w:highlight w:val="none"/>
          <w14:textFill>
            <w14:solidFill>
              <w14:schemeClr w14:val="tx1"/>
            </w14:solidFill>
          </w14:textFill>
        </w:rPr>
        <w:t>具体来讲，新编《列国志》《国际组织志》丛书主要从以下几方面做出新调整</w:t>
      </w:r>
      <w:r>
        <w:rPr>
          <w:rFonts w:ascii="Times New Roman" w:hAnsi="Times New Roman" w:eastAsia="仿宋_GB2312" w:cs="Times New Roman"/>
          <w:b w:val="0"/>
          <w:bCs w:val="0"/>
          <w:color w:val="000000" w:themeColor="text1"/>
          <w:spacing w:val="6"/>
          <w:sz w:val="32"/>
          <w:szCs w:val="32"/>
          <w:highlight w:val="none"/>
          <w14:textFill>
            <w14:solidFill>
              <w14:schemeClr w14:val="tx1"/>
            </w14:solidFill>
          </w14:textFill>
        </w:rPr>
        <w:t>：（1）</w:t>
      </w:r>
      <w:r>
        <w:rPr>
          <w:rFonts w:hint="eastAsia" w:ascii="Times New Roman" w:hAnsi="Times New Roman" w:eastAsia="仿宋_GB2312" w:cs="Times New Roman"/>
          <w:b w:val="0"/>
          <w:bCs w:val="0"/>
          <w:color w:val="000000" w:themeColor="text1"/>
          <w:spacing w:val="6"/>
          <w:sz w:val="32"/>
          <w:szCs w:val="32"/>
          <w:highlight w:val="none"/>
          <w:lang w:val="en-US" w:eastAsia="zh-CN"/>
          <w14:textFill>
            <w14:solidFill>
              <w14:schemeClr w14:val="tx1"/>
            </w14:solidFill>
          </w14:textFill>
        </w:rPr>
        <w:t>丛书的编撰出版着眼于新时代发展需求，</w:t>
      </w:r>
      <w:r>
        <w:rPr>
          <w:rFonts w:ascii="Times New Roman" w:hAnsi="Times New Roman" w:eastAsia="仿宋_GB2312" w:cs="Times New Roman"/>
          <w:b w:val="0"/>
          <w:bCs w:val="0"/>
          <w:color w:val="000000" w:themeColor="text1"/>
          <w:spacing w:val="6"/>
          <w:sz w:val="32"/>
          <w:szCs w:val="32"/>
          <w:highlight w:val="none"/>
          <w14:textFill>
            <w14:solidFill>
              <w14:schemeClr w14:val="tx1"/>
            </w14:solidFill>
          </w14:textFill>
        </w:rPr>
        <w:t>为推进中国式现代化营造良好外部环境。（2）丛书总体要求可读性与学术性兼具，突出学术性，加强历史纵深感，全面调整章节标题，充分体现新时代的新表达与新范式。（3）在准确、系统、全面介绍研究对象国家和国际组织的基础上，突出问题意识，总结现象背后的本质性、规律性，体现国别特色和国际组织在相关领域的独特作用。（4）根据当下国家对区域国别研究的最新需求，结合目前区域国别研究的最新进展，加强对重要问题的分析论述，避免资料堆砌，引用重要材料和主要观点需要加注释，注意资料信息的权威性和时效性。（5）总体原则强调厚今薄古，</w:t>
      </w:r>
      <w:r>
        <w:rPr>
          <w:rFonts w:hint="eastAsia" w:ascii="Times New Roman" w:hAnsi="Times New Roman" w:eastAsia="仿宋_GB2312" w:cs="Times New Roman"/>
          <w:b w:val="0"/>
          <w:bCs w:val="0"/>
          <w:color w:val="000000" w:themeColor="text1"/>
          <w:spacing w:val="6"/>
          <w:sz w:val="32"/>
          <w:szCs w:val="32"/>
          <w:highlight w:val="none"/>
          <w:lang w:val="en-US" w:eastAsia="zh-CN"/>
          <w14:textFill>
            <w14:solidFill>
              <w14:schemeClr w14:val="tx1"/>
            </w14:solidFill>
          </w14:textFill>
        </w:rPr>
        <w:t>侧重反映国别或国际组织的最新发展状况</w:t>
      </w:r>
      <w:r>
        <w:rPr>
          <w:rFonts w:hint="eastAsia" w:ascii="Times New Roman" w:hAnsi="Times New Roman" w:eastAsia="仿宋_GB2312" w:cs="Times New Roman"/>
          <w:b w:val="0"/>
          <w:bCs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6"/>
          <w:sz w:val="32"/>
          <w:szCs w:val="32"/>
          <w:highlight w:val="none"/>
          <w:lang w:val="en-US" w:eastAsia="zh-CN"/>
          <w14:textFill>
            <w14:solidFill>
              <w14:schemeClr w14:val="tx1"/>
            </w14:solidFill>
          </w14:textFill>
        </w:rPr>
        <w:t>6</w:t>
      </w:r>
      <w:r>
        <w:rPr>
          <w:rFonts w:hint="eastAsia" w:ascii="Times New Roman" w:hAnsi="Times New Roman" w:eastAsia="仿宋_GB2312" w:cs="Times New Roman"/>
          <w:b w:val="0"/>
          <w:bCs w:val="0"/>
          <w:color w:val="000000" w:themeColor="text1"/>
          <w:spacing w:val="6"/>
          <w:sz w:val="32"/>
          <w:szCs w:val="32"/>
          <w:highlight w:val="none"/>
          <w:lang w:eastAsia="zh-CN"/>
          <w14:textFill>
            <w14:solidFill>
              <w14:schemeClr w14:val="tx1"/>
            </w14:solidFill>
          </w14:textFill>
        </w:rPr>
        <w:t>）</w:t>
      </w:r>
      <w:r>
        <w:rPr>
          <w:rFonts w:ascii="Times New Roman" w:hAnsi="Times New Roman" w:eastAsia="仿宋_GB2312" w:cs="Times New Roman"/>
          <w:b w:val="0"/>
          <w:bCs w:val="0"/>
          <w:color w:val="000000" w:themeColor="text1"/>
          <w:spacing w:val="6"/>
          <w:sz w:val="32"/>
          <w:szCs w:val="32"/>
          <w:highlight w:val="none"/>
          <w14:textFill>
            <w14:solidFill>
              <w14:schemeClr w14:val="tx1"/>
            </w14:solidFill>
          </w14:textFill>
        </w:rPr>
        <w:t>总字数控制在15万</w:t>
      </w:r>
      <w:r>
        <w:rPr>
          <w:rFonts w:hint="eastAsia" w:ascii="Times New Roman" w:hAnsi="Times New Roman" w:eastAsia="仿宋_GB2312" w:cs="Times New Roman"/>
          <w:b w:val="0"/>
          <w:bCs w:val="0"/>
          <w:color w:val="000000" w:themeColor="text1"/>
          <w:spacing w:val="6"/>
          <w:sz w:val="32"/>
          <w:szCs w:val="32"/>
          <w:highlight w:val="none"/>
          <w:lang w:val="en-US" w:eastAsia="zh-CN"/>
          <w14:textFill>
            <w14:solidFill>
              <w14:schemeClr w14:val="tx1"/>
            </w14:solidFill>
          </w14:textFill>
        </w:rPr>
        <w:t>至</w:t>
      </w:r>
      <w:r>
        <w:rPr>
          <w:rFonts w:ascii="Times New Roman" w:hAnsi="Times New Roman" w:eastAsia="仿宋_GB2312" w:cs="Times New Roman"/>
          <w:b w:val="0"/>
          <w:bCs w:val="0"/>
          <w:color w:val="000000" w:themeColor="text1"/>
          <w:spacing w:val="6"/>
          <w:sz w:val="32"/>
          <w:szCs w:val="32"/>
          <w:highlight w:val="none"/>
          <w14:textFill>
            <w14:solidFill>
              <w14:schemeClr w14:val="tx1"/>
            </w14:solidFill>
          </w14:textFill>
        </w:rPr>
        <w:t>40万字（Word统计字数）</w:t>
      </w:r>
      <w:r>
        <w:rPr>
          <w:rFonts w:hint="eastAsia" w:ascii="Times New Roman" w:hAnsi="Times New Roman" w:eastAsia="仿宋_GB2312" w:cs="Times New Roman"/>
          <w:b w:val="0"/>
          <w:bCs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6"/>
          <w:sz w:val="32"/>
          <w:szCs w:val="32"/>
          <w:highlight w:val="none"/>
          <w:lang w:val="en-US" w:eastAsia="zh-CN"/>
          <w14:textFill>
            <w14:solidFill>
              <w14:schemeClr w14:val="tx1"/>
            </w14:solidFill>
          </w14:textFill>
        </w:rPr>
        <w:t>大国建议不超过40万字，中等国家建议不超过30万字</w:t>
      </w:r>
      <w:r>
        <w:rPr>
          <w:rFonts w:ascii="Times New Roman" w:hAnsi="Times New Roman" w:eastAsia="仿宋_GB2312" w:cs="Times New Roman"/>
          <w:b w:val="0"/>
          <w:bCs w:val="0"/>
          <w:color w:val="000000" w:themeColor="text1"/>
          <w:spacing w:val="6"/>
          <w:sz w:val="32"/>
          <w:szCs w:val="32"/>
          <w:highlight w:val="none"/>
          <w14:textFill>
            <w14:solidFill>
              <w14:schemeClr w14:val="tx1"/>
            </w14:solidFill>
          </w14:textFill>
        </w:rPr>
        <w:t>。</w:t>
      </w:r>
    </w:p>
    <w:p w14:paraId="16F8996E">
      <w:pPr>
        <w:pStyle w:val="10"/>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Chars="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新编《列国志》基本内容设置</w:t>
      </w:r>
    </w:p>
    <w:p w14:paraId="686F00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楷体_GB2312" w:cs="Times New Roman"/>
          <w:bCs/>
          <w:color w:val="000000" w:themeColor="text1"/>
          <w:sz w:val="32"/>
          <w:szCs w:val="32"/>
          <w:highlight w:val="none"/>
          <w14:textFill>
            <w14:solidFill>
              <w14:schemeClr w14:val="tx1"/>
            </w14:solidFill>
          </w14:textFill>
        </w:rPr>
      </w:pPr>
      <w:r>
        <w:rPr>
          <w:rFonts w:ascii="Times New Roman" w:hAnsi="Times New Roman" w:eastAsia="楷体_GB2312" w:cs="Times New Roman"/>
          <w:bCs/>
          <w:color w:val="000000" w:themeColor="text1"/>
          <w:sz w:val="32"/>
          <w:szCs w:val="32"/>
          <w:highlight w:val="none"/>
          <w14:textFill>
            <w14:solidFill>
              <w14:schemeClr w14:val="tx1"/>
            </w14:solidFill>
          </w14:textFill>
        </w:rPr>
        <w:t>1.</w:t>
      </w:r>
      <w:r>
        <w:rPr>
          <w:rFonts w:hint="eastAsia" w:ascii="Times New Roman" w:hAnsi="Times New Roman" w:eastAsia="楷体_GB2312" w:cs="Times New Roman"/>
          <w:bCs/>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楷体_GB2312" w:cs="Times New Roman"/>
          <w:bCs/>
          <w:color w:val="000000" w:themeColor="text1"/>
          <w:sz w:val="32"/>
          <w:szCs w:val="32"/>
          <w:highlight w:val="none"/>
          <w14:textFill>
            <w14:solidFill>
              <w14:schemeClr w14:val="tx1"/>
            </w14:solidFill>
          </w14:textFill>
        </w:rPr>
        <w:t>正文部分</w:t>
      </w:r>
      <w:r>
        <w:rPr>
          <w:rStyle w:val="9"/>
          <w:rFonts w:ascii="Times New Roman" w:hAnsi="Times New Roman" w:eastAsia="楷体_GB2312" w:cs="Times New Roman"/>
          <w:bCs/>
          <w:color w:val="000000" w:themeColor="text1"/>
          <w:sz w:val="32"/>
          <w:szCs w:val="32"/>
          <w:highlight w:val="none"/>
          <w14:textFill>
            <w14:solidFill>
              <w14:schemeClr w14:val="tx1"/>
            </w14:solidFill>
          </w14:textFill>
        </w:rPr>
        <w:footnoteReference w:id="0"/>
      </w:r>
    </w:p>
    <w:p w14:paraId="21476E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 xml:space="preserve">前言  </w:t>
      </w:r>
    </w:p>
    <w:p w14:paraId="335926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前言旨在帮助读者快速了解一个国家，总体介绍研究对象国家综合国力水平、经济发展特征、内部政治运作、社会发展状况以及对外关系等，</w:t>
      </w:r>
      <w:r>
        <w:rPr>
          <w:rFonts w:ascii="Times New Roman" w:hAnsi="Times New Roman" w:eastAsia="仿宋_GB2312" w:cs="Times New Roman"/>
          <w:b/>
          <w:bCs/>
          <w:color w:val="000000" w:themeColor="text1"/>
          <w:sz w:val="32"/>
          <w:szCs w:val="32"/>
          <w:highlight w:val="none"/>
          <w14:textFill>
            <w14:solidFill>
              <w14:schemeClr w14:val="tx1"/>
            </w14:solidFill>
          </w14:textFill>
        </w:rPr>
        <w:t>总结该研究对象国家的国别特色，评估该研究对象国家在其所属区域、世界中的地位和影响力</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b/>
          <w:bCs/>
          <w:color w:val="000000" w:themeColor="text1"/>
          <w:sz w:val="32"/>
          <w:szCs w:val="32"/>
          <w:highlight w:val="none"/>
          <w14:textFill>
            <w14:solidFill>
              <w14:schemeClr w14:val="tx1"/>
            </w14:solidFill>
          </w14:textFill>
        </w:rPr>
        <w:t>与上版相比，该部分为新增，且要求高度概括凝练，避免一般性叙述和细节性描述，篇幅控制在5000字以内。</w:t>
      </w:r>
    </w:p>
    <w:p w14:paraId="2FF454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 xml:space="preserve"> 国情概览</w:t>
      </w:r>
    </w:p>
    <w:p w14:paraId="110C9AE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地理位置与资源禀赋</w:t>
      </w:r>
    </w:p>
    <w:p w14:paraId="5CBE7143">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行政区划与人口结构</w:t>
      </w:r>
    </w:p>
    <w:p w14:paraId="3875D168">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民族构成与宗教民俗</w:t>
      </w:r>
    </w:p>
    <w:p w14:paraId="23A5757F">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重要城市及其影响</w:t>
      </w:r>
    </w:p>
    <w:p w14:paraId="3629D7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全面记述研究对象国家地理位置、地形气候、河流山川、自然资源、人口分布、行政区划、部落民族、宗教民俗等方面内容。</w:t>
      </w:r>
      <w:r>
        <w:rPr>
          <w:rFonts w:hint="eastAsia" w:ascii="仿宋_GB2312" w:eastAsia="仿宋_GB2312"/>
          <w:b/>
          <w:bCs/>
          <w:color w:val="000000" w:themeColor="text1"/>
          <w:sz w:val="32"/>
          <w:szCs w:val="32"/>
          <w:highlight w:val="none"/>
          <w14:textFill>
            <w14:solidFill>
              <w14:schemeClr w14:val="tx1"/>
            </w14:solidFill>
          </w14:textFill>
        </w:rPr>
        <w:t>与上版相比，此次该章根据各国别实际情况，选择对研究对象国家和人民影响较大的方面或者能够体现国别特色的内容，比如资源禀赋、国际移民、宗教文化、重要城市等，展开专题论述，重要城市更加侧重城市建设与发展及其影响力，</w:t>
      </w:r>
      <w:r>
        <w:rPr>
          <w:rFonts w:hint="eastAsia" w:ascii="仿宋_GB2312" w:eastAsia="仿宋_GB2312"/>
          <w:b/>
          <w:bCs/>
          <w:color w:val="000000" w:themeColor="text1"/>
          <w:sz w:val="32"/>
          <w:szCs w:val="32"/>
          <w:highlight w:val="none"/>
          <w:lang w:val="en-US" w:eastAsia="zh-CN"/>
          <w14:textFill>
            <w14:solidFill>
              <w14:schemeClr w14:val="tx1"/>
            </w14:solidFill>
          </w14:textFill>
        </w:rPr>
        <w:t>切记</w:t>
      </w:r>
      <w:r>
        <w:rPr>
          <w:rFonts w:hint="eastAsia" w:ascii="仿宋_GB2312" w:eastAsia="仿宋_GB2312"/>
          <w:b/>
          <w:bCs/>
          <w:color w:val="000000" w:themeColor="text1"/>
          <w:sz w:val="32"/>
          <w:szCs w:val="32"/>
          <w:highlight w:val="none"/>
          <w14:textFill>
            <w14:solidFill>
              <w14:schemeClr w14:val="tx1"/>
            </w14:solidFill>
          </w14:textFill>
        </w:rPr>
        <w:t>不要罗列基本信息，有所侧重，体现国别特色。</w:t>
      </w:r>
    </w:p>
    <w:p w14:paraId="52A79F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历史纵横</w:t>
      </w:r>
    </w:p>
    <w:p w14:paraId="397D0DA0">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国家简史</w:t>
      </w:r>
    </w:p>
    <w:p w14:paraId="6377951B">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民族国家构建</w:t>
      </w:r>
    </w:p>
    <w:p w14:paraId="62E4E661">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现代化发展历程</w:t>
      </w:r>
    </w:p>
    <w:p w14:paraId="617198EF">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与世界其他地区的联系与互动</w:t>
      </w:r>
    </w:p>
    <w:p w14:paraId="0F64F7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按照古代、近代、现代、当代的时间顺序，梳理对象国家历史发展轨迹，概述该国家的形成和构建过程，介绍该国家历史上发生的重大事件、出现的重要人物、形成的重要思想及其时代影响。</w:t>
      </w:r>
      <w:r>
        <w:rPr>
          <w:rFonts w:hint="eastAsia" w:ascii="仿宋_GB2312" w:eastAsia="仿宋_GB2312"/>
          <w:b/>
          <w:bCs/>
          <w:color w:val="000000" w:themeColor="text1"/>
          <w:sz w:val="32"/>
          <w:szCs w:val="32"/>
          <w:highlight w:val="none"/>
          <w14:textFill>
            <w14:solidFill>
              <w14:schemeClr w14:val="tx1"/>
            </w14:solidFill>
          </w14:textFill>
        </w:rPr>
        <w:t>与上版相比，此次在对国别历史发展线索做简要梳理的基础上，重点围绕该研究对象国家民族国家构建、国家身份认同以及现代化进程等重大问题展开，研究该国历史发展的规律性、独特性与多样性，揭示其在世界历史发展进程中的地位与影响。</w:t>
      </w:r>
    </w:p>
    <w:p w14:paraId="3A6C94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说明：关于民族国家构建与现代化发展这两部分内容，根据研究对象国家实际情况，确定是否撰写；如果确定要撰写，可以采用两种方式，一种是根据历史时期划分，在各历史时期内有意识地突出论述与民族国家构建、现代化发展相关的内容，另一种是先对研究对象国家历史做简要梳理，然后再分别阐述其民族国家构建和现代化发展历程。关于国别现代化发展历程，注意与经济部分内容相区别，此处强调历史进程的梳理与总结，而经济部分强调发展现状，不再回溯历史；与世界其他地区的联系与互动，注意与外交部分内容相区别，此处强调历史上的往来和历史上的联系，以便更好地理解该国别在世界历史中的地位，不就外交政策展开深入评析，而外交部分强调现状，不再回溯历史。</w:t>
      </w:r>
    </w:p>
    <w:p w14:paraId="761B55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国体政体</w:t>
      </w:r>
    </w:p>
    <w:p w14:paraId="0C182702">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行政机构</w:t>
      </w:r>
    </w:p>
    <w:p w14:paraId="47F526FA">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立法机构</w:t>
      </w:r>
    </w:p>
    <w:p w14:paraId="29BF3B7B">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司法机构</w:t>
      </w:r>
    </w:p>
    <w:p w14:paraId="13BC202C">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选举制度</w:t>
      </w:r>
    </w:p>
    <w:p w14:paraId="5F8A803E">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与上版相比，此次政治分为两章，分别从静态和动态两个维度分析研究对象国家的政治特色与最新政治动向。</w:t>
      </w:r>
      <w:r>
        <w:rPr>
          <w:rFonts w:hint="eastAsia" w:ascii="仿宋_GB2312" w:eastAsia="仿宋_GB2312"/>
          <w:color w:val="000000" w:themeColor="text1"/>
          <w:sz w:val="32"/>
          <w:szCs w:val="32"/>
          <w:highlight w:val="none"/>
          <w14:textFill>
            <w14:solidFill>
              <w14:schemeClr w14:val="tx1"/>
            </w14:solidFill>
          </w14:textFill>
        </w:rPr>
        <w:t xml:space="preserve">该章侧重静态描述，梳理研究对象国家的政治机构、政治体制、选举制度，总结研究对象国家的政治特征、组织原则、运行机制与方式等相对稳定的方面，帮助读者建立起对一国政治的整体认识。 </w:t>
      </w:r>
    </w:p>
    <w:p w14:paraId="62E9CB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政治发展</w:t>
      </w:r>
    </w:p>
    <w:p w14:paraId="197B8359">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政党政治与重要选举</w:t>
      </w:r>
    </w:p>
    <w:p w14:paraId="7A0183A7">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利益集团、社会团体与民间智库</w:t>
      </w:r>
    </w:p>
    <w:p w14:paraId="4DBC6794">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政教关系发展演变</w:t>
      </w:r>
    </w:p>
    <w:p w14:paraId="04392ADA">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政治改革与政治思潮新发展</w:t>
      </w:r>
    </w:p>
    <w:p w14:paraId="00B0F8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该章侧重从动态出发，展现研究对象国家的内部政党政治发展、重要选举及其影响因素、政治革新、政治思潮演变等，</w:t>
      </w:r>
      <w:r>
        <w:rPr>
          <w:rFonts w:hint="eastAsia" w:ascii="仿宋_GB2312" w:eastAsia="仿宋_GB2312"/>
          <w:b/>
          <w:bCs/>
          <w:color w:val="000000" w:themeColor="text1"/>
          <w:sz w:val="32"/>
          <w:szCs w:val="32"/>
          <w:highlight w:val="none"/>
          <w14:textFill>
            <w14:solidFill>
              <w14:schemeClr w14:val="tx1"/>
            </w14:solidFill>
          </w14:textFill>
        </w:rPr>
        <w:t>重点关注该研究对象国最新政治动向及其背后因素，评估该国内部政治变化的外溢效应。</w:t>
      </w:r>
    </w:p>
    <w:p w14:paraId="406B704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 xml:space="preserve">说明：政教关系仅针对避不开此问题的国别而言，且侧重于总结宗教对国家政治的影响，特别是新时代受全球化影响产生的新变化，不就宗教内容展开研究，不做主观评论。 </w:t>
      </w:r>
      <w:r>
        <w:rPr>
          <w:rFonts w:hint="eastAsia" w:ascii="仿宋_GB2312" w:eastAsia="仿宋_GB2312"/>
          <w:color w:val="000000" w:themeColor="text1"/>
          <w:sz w:val="32"/>
          <w:szCs w:val="32"/>
          <w:highlight w:val="none"/>
          <w14:textFill>
            <w14:solidFill>
              <w14:schemeClr w14:val="tx1"/>
            </w14:solidFill>
          </w14:textFill>
        </w:rPr>
        <w:t xml:space="preserve"> </w:t>
      </w:r>
    </w:p>
    <w:p w14:paraId="51BACED4">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 xml:space="preserve"> 国民经济</w:t>
      </w:r>
    </w:p>
    <w:p w14:paraId="3D89332A">
      <w:pPr>
        <w:pStyle w:val="10"/>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总体实力</w:t>
      </w:r>
    </w:p>
    <w:p w14:paraId="09F647E6">
      <w:pPr>
        <w:pStyle w:val="10"/>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经济制度与经济政策</w:t>
      </w:r>
    </w:p>
    <w:p w14:paraId="4F83B03F">
      <w:pPr>
        <w:pStyle w:val="10"/>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营商环境</w:t>
      </w:r>
    </w:p>
    <w:p w14:paraId="62FB665F">
      <w:pPr>
        <w:pStyle w:val="10"/>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创新能力</w:t>
      </w:r>
    </w:p>
    <w:p w14:paraId="001292AC">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562"/>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与上版相比，此次经济分为三章，分别从整体实力、重点产业、新兴领域分析研究对象国家经济特色与最新发展。</w:t>
      </w:r>
      <w:r>
        <w:rPr>
          <w:rFonts w:hint="eastAsia" w:ascii="仿宋_GB2312" w:eastAsia="仿宋_GB2312"/>
          <w:color w:val="000000" w:themeColor="text1"/>
          <w:sz w:val="32"/>
          <w:szCs w:val="32"/>
          <w:highlight w:val="none"/>
          <w14:textFill>
            <w14:solidFill>
              <w14:schemeClr w14:val="tx1"/>
            </w14:solidFill>
          </w14:textFill>
        </w:rPr>
        <w:t>该章从整体出发，介绍研究对象国家的总体经济实力，分析其经济制度特点与经济政策发展趋势，结合当下国际格局，评估其营商环境与创新能力，帮助读者建立起对一国经济的整体认识。</w:t>
      </w:r>
    </w:p>
    <w:p w14:paraId="388D7E4A">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第六章 </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产业发展</w:t>
      </w:r>
    </w:p>
    <w:p w14:paraId="7DC271A8">
      <w:pPr>
        <w:pStyle w:val="10"/>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产业结构</w:t>
      </w:r>
    </w:p>
    <w:p w14:paraId="0BA293FD">
      <w:pPr>
        <w:pStyle w:val="10"/>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重点产业或特色产业</w:t>
      </w:r>
    </w:p>
    <w:p w14:paraId="431F325F">
      <w:pPr>
        <w:pStyle w:val="10"/>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基础设施建设与规划</w:t>
      </w:r>
    </w:p>
    <w:p w14:paraId="3AE65A50">
      <w:pPr>
        <w:pStyle w:val="10"/>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经济技术园区发展与规划</w:t>
      </w:r>
    </w:p>
    <w:p w14:paraId="76A91D61">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64" w:firstLineChars="200"/>
        <w:textAlignment w:val="auto"/>
        <w:rPr>
          <w:rFonts w:ascii="仿宋_GB2312" w:eastAsia="仿宋_GB2312"/>
          <w:b/>
          <w:bCs/>
          <w:color w:val="000000" w:themeColor="text1"/>
          <w:spacing w:val="6"/>
          <w:sz w:val="32"/>
          <w:szCs w:val="32"/>
          <w:highlight w:val="none"/>
          <w14:textFill>
            <w14:solidFill>
              <w14:schemeClr w14:val="tx1"/>
            </w14:solidFill>
          </w14:textFill>
        </w:rPr>
      </w:pPr>
      <w:r>
        <w:rPr>
          <w:rFonts w:hint="eastAsia" w:ascii="仿宋_GB2312" w:eastAsia="仿宋_GB2312"/>
          <w:color w:val="000000" w:themeColor="text1"/>
          <w:spacing w:val="6"/>
          <w:sz w:val="32"/>
          <w:szCs w:val="32"/>
          <w:highlight w:val="none"/>
          <w14:textFill>
            <w14:solidFill>
              <w14:schemeClr w14:val="tx1"/>
            </w14:solidFill>
          </w14:textFill>
        </w:rPr>
        <w:t>该章基于国别特色，在系统介绍研究对象国家产业结构基础上，选取一国的重点产业或特色产业展开专题论述。</w:t>
      </w:r>
      <w:r>
        <w:rPr>
          <w:rFonts w:hint="eastAsia" w:ascii="仿宋_GB2312" w:eastAsia="仿宋_GB2312"/>
          <w:b/>
          <w:bCs/>
          <w:color w:val="000000" w:themeColor="text1"/>
          <w:spacing w:val="6"/>
          <w:sz w:val="32"/>
          <w:szCs w:val="32"/>
          <w:highlight w:val="none"/>
          <w14:textFill>
            <w14:solidFill>
              <w14:schemeClr w14:val="tx1"/>
            </w14:solidFill>
          </w14:textFill>
        </w:rPr>
        <w:t>与上版相比，此次加强了对研究对象国家重点产业和特色产业的论述，同时根据当下需求，新增了基础设施建设和经济技术园区发展等相关内容。</w:t>
      </w:r>
    </w:p>
    <w:p w14:paraId="7AFECB37">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第七章 </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新兴领域</w:t>
      </w:r>
    </w:p>
    <w:p w14:paraId="462F731B">
      <w:pPr>
        <w:pStyle w:val="10"/>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科技发展及其应用</w:t>
      </w:r>
    </w:p>
    <w:p w14:paraId="54579DF4">
      <w:pPr>
        <w:pStyle w:val="10"/>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数字经济发展及其规划</w:t>
      </w:r>
    </w:p>
    <w:p w14:paraId="6274D0CE">
      <w:pPr>
        <w:pStyle w:val="10"/>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新能源发展及其规划</w:t>
      </w:r>
    </w:p>
    <w:p w14:paraId="2710897A">
      <w:pPr>
        <w:pStyle w:val="10"/>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人工智能发展及其规划</w:t>
      </w:r>
    </w:p>
    <w:p w14:paraId="32168742">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与上版相比，该章为新增，</w:t>
      </w:r>
      <w:r>
        <w:rPr>
          <w:rFonts w:hint="eastAsia" w:ascii="仿宋_GB2312" w:eastAsia="仿宋_GB2312"/>
          <w:color w:val="000000" w:themeColor="text1"/>
          <w:sz w:val="32"/>
          <w:szCs w:val="32"/>
          <w:highlight w:val="none"/>
          <w14:textFill>
            <w14:solidFill>
              <w14:schemeClr w14:val="tx1"/>
            </w14:solidFill>
          </w14:textFill>
        </w:rPr>
        <w:t>侧重分析研究对象国家在新兴产业领域的投入与规划，包括但不限于科技发展、数字经济、新能源、人工智能等，力求体现该国经济发展的最新趋势，评估该国经济在当前及今后较长时期内全球经济中的地位与影响。</w:t>
      </w:r>
    </w:p>
    <w:p w14:paraId="740D0DAE">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说明：有的国别这部分如果内容较少或者没有内容可写，则该章可以不设，内容少的可概括为一节放在第六章当中体现。如果有的国别有特色经济，在第六章无法展开的，可以根据实际情况，自行设置一章来阐述。</w:t>
      </w:r>
    </w:p>
    <w:p w14:paraId="7DEBD4A1">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第八章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社会治理</w:t>
      </w:r>
    </w:p>
    <w:p w14:paraId="421E2E6D">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国民生活水平</w:t>
      </w:r>
    </w:p>
    <w:p w14:paraId="47791ED5">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社会保障与福利救助</w:t>
      </w:r>
    </w:p>
    <w:p w14:paraId="5A2FEB75">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医疗卫生与国民健康</w:t>
      </w:r>
    </w:p>
    <w:p w14:paraId="14F7C30D">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气候变化与环境保护</w:t>
      </w:r>
    </w:p>
    <w:p w14:paraId="45DFB34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全面记述研究对象国家的国民生活状况，包括就业、消费、物价、住房、社会保障与福利、医疗卫生等，并对其发展水平进行评估。</w:t>
      </w:r>
      <w:r>
        <w:rPr>
          <w:rFonts w:hint="eastAsia" w:ascii="仿宋_GB2312" w:eastAsia="仿宋_GB2312"/>
          <w:b/>
          <w:bCs/>
          <w:color w:val="000000" w:themeColor="text1"/>
          <w:sz w:val="32"/>
          <w:szCs w:val="32"/>
          <w:highlight w:val="none"/>
          <w14:textFill>
            <w14:solidFill>
              <w14:schemeClr w14:val="tx1"/>
            </w14:solidFill>
          </w14:textFill>
        </w:rPr>
        <w:t>与上版相比，此次强调紧紧围绕社会问题展现研究对象国家的社会治理状况，可根据各国实际情况选择研究对象国家社会发展领域较有特色的内容，比如人口老龄化问题、贫困问题、移民问题、生态问题等，展开专题论述。</w:t>
      </w:r>
    </w:p>
    <w:p w14:paraId="5A60C63C">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第九章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文化</w:t>
      </w:r>
      <w:r>
        <w:rPr>
          <w:rFonts w:hint="eastAsia" w:ascii="黑体" w:hAnsi="黑体" w:eastAsia="黑体" w:cs="黑体"/>
          <w:color w:val="000000" w:themeColor="text1"/>
          <w:sz w:val="32"/>
          <w:szCs w:val="32"/>
          <w:highlight w:val="none"/>
          <w:lang w:val="en-US" w:eastAsia="zh-CN"/>
          <w14:textFill>
            <w14:solidFill>
              <w14:schemeClr w14:val="tx1"/>
            </w14:solidFill>
          </w14:textFill>
        </w:rPr>
        <w:t>总览</w:t>
      </w:r>
    </w:p>
    <w:p w14:paraId="705344DA">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教育</w:t>
      </w:r>
    </w:p>
    <w:p w14:paraId="2C861482">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科学研究</w:t>
      </w:r>
    </w:p>
    <w:p w14:paraId="46B80F2A">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文学艺术</w:t>
      </w:r>
    </w:p>
    <w:p w14:paraId="63305FE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体育事业与产业</w:t>
      </w:r>
    </w:p>
    <w:p w14:paraId="399718F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第五节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新闻出版与融媒体</w:t>
      </w:r>
    </w:p>
    <w:p w14:paraId="52DE861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第六节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文化遗产保护</w:t>
      </w:r>
    </w:p>
    <w:p w14:paraId="1629ED61">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全面记述研究对象国家的教育、科学研究、文学艺术、体育、传媒、文化遗产保护等方面内容。</w:t>
      </w:r>
      <w:r>
        <w:rPr>
          <w:rFonts w:hint="eastAsia" w:ascii="仿宋_GB2312" w:eastAsia="仿宋_GB2312"/>
          <w:b/>
          <w:bCs/>
          <w:color w:val="000000" w:themeColor="text1"/>
          <w:sz w:val="32"/>
          <w:szCs w:val="32"/>
          <w:highlight w:val="none"/>
          <w14:textFill>
            <w14:solidFill>
              <w14:schemeClr w14:val="tx1"/>
            </w14:solidFill>
          </w14:textFill>
        </w:rPr>
        <w:t>与上版相比，此次重点关注研究对象国家在科学教育上的投入与规划、对外文化交流项目最新进展、融媒体的最新发展及其国内外影响、文化遗产保护新举措等，可根据各国实际情况选取比较重要的领域进行重点论述，目的在于促进文明交流互鉴，增进民心相通。</w:t>
      </w:r>
    </w:p>
    <w:p w14:paraId="165737E2">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国家安全</w:t>
      </w:r>
    </w:p>
    <w:p w14:paraId="5E6AA938">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国家安全政策与状况</w:t>
      </w:r>
    </w:p>
    <w:p w14:paraId="689A8C28">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军事体制与军事力量</w:t>
      </w:r>
    </w:p>
    <w:p w14:paraId="7302FCD9">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国防科技与国防工业</w:t>
      </w:r>
    </w:p>
    <w:p w14:paraId="639C9191">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对外军事战略与军事关系</w:t>
      </w:r>
    </w:p>
    <w:p w14:paraId="2EEBB1EB">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第五节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非传统安全及其影响</w:t>
      </w:r>
    </w:p>
    <w:p w14:paraId="7DA4EC12">
      <w:pPr>
        <w:pStyle w:val="10"/>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与上版相比，此次借鉴国家安全学相关理论，将军事部分的内容扩充为国家安全，分析研究对象国家的安全关切与应对之道。</w:t>
      </w:r>
      <w:r>
        <w:rPr>
          <w:rFonts w:hint="eastAsia" w:ascii="仿宋_GB2312" w:eastAsia="仿宋_GB2312"/>
          <w:color w:val="000000" w:themeColor="text1"/>
          <w:sz w:val="32"/>
          <w:szCs w:val="32"/>
          <w:highlight w:val="none"/>
          <w14:textFill>
            <w14:solidFill>
              <w14:schemeClr w14:val="tx1"/>
            </w14:solidFill>
          </w14:textFill>
        </w:rPr>
        <w:t>全面记述研究对象国家的国家安全相关内容，包括国防体制、军事力量、国防科技与国防工业、对外军事关系、非传统安全（包括能源安全、粮食安全、反恐等），</w:t>
      </w:r>
      <w:r>
        <w:rPr>
          <w:rFonts w:hint="eastAsia" w:ascii="仿宋_GB2312" w:eastAsia="仿宋_GB2312"/>
          <w:b/>
          <w:bCs/>
          <w:color w:val="000000" w:themeColor="text1"/>
          <w:sz w:val="32"/>
          <w:szCs w:val="32"/>
          <w:highlight w:val="none"/>
          <w14:textFill>
            <w14:solidFill>
              <w14:schemeClr w14:val="tx1"/>
            </w14:solidFill>
          </w14:textFill>
        </w:rPr>
        <w:t>重点关注研究对象国家军事实力、国防科技水平、对外军事战略新动向，以及各类非传统安全问题</w:t>
      </w:r>
      <w:r>
        <w:rPr>
          <w:rFonts w:hint="eastAsia" w:ascii="仿宋_GB2312" w:eastAsia="仿宋_GB2312"/>
          <w:color w:val="000000" w:themeColor="text1"/>
          <w:sz w:val="32"/>
          <w:szCs w:val="32"/>
          <w:highlight w:val="none"/>
          <w14:textFill>
            <w14:solidFill>
              <w14:schemeClr w14:val="tx1"/>
            </w14:solidFill>
          </w14:textFill>
        </w:rPr>
        <w:t>。</w:t>
      </w:r>
    </w:p>
    <w:p w14:paraId="645ED5F0">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第十一章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对外关系</w:t>
      </w:r>
    </w:p>
    <w:p w14:paraId="3C6F9A45">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地缘政治与对外政策演变</w:t>
      </w:r>
    </w:p>
    <w:p w14:paraId="0AD0D077">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热点问题与特色外交</w:t>
      </w:r>
    </w:p>
    <w:p w14:paraId="00FC92DD">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地区战略与周边关系</w:t>
      </w:r>
    </w:p>
    <w:p w14:paraId="00BB9A58">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大国博弈与大国关系</w:t>
      </w:r>
    </w:p>
    <w:p w14:paraId="52FF7A33">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第五节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参与全球治理</w:t>
      </w:r>
    </w:p>
    <w:p w14:paraId="24F40028">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全面记述研究对象国家的外交体制、外交政策、周边关系、大国关系以及与国际组织的关系等，分析研究对象国家对外关系影响因素和重要外交政策思想库，重点关注当下国际格局中该国对国际热点问题的态度，其最新的外交动向及其影响。</w:t>
      </w:r>
      <w:r>
        <w:rPr>
          <w:rFonts w:hint="eastAsia" w:ascii="仿宋_GB2312" w:eastAsia="仿宋_GB2312"/>
          <w:b/>
          <w:bCs/>
          <w:color w:val="000000" w:themeColor="text1"/>
          <w:sz w:val="32"/>
          <w:szCs w:val="32"/>
          <w:highlight w:val="none"/>
          <w14:textFill>
            <w14:solidFill>
              <w14:schemeClr w14:val="tx1"/>
            </w14:solidFill>
          </w14:textFill>
        </w:rPr>
        <w:t>与上版相比，此次更加强调结合地缘政治、地区形势、大国博弈及全球治理新格局等展开研究分析，突出国别外交特色，评估国别外交的世界影响。注意内容架构上可以进行调整，突出对研究对象国家影响较大的国家间关系</w:t>
      </w:r>
      <w:r>
        <w:rPr>
          <w:rFonts w:hint="eastAsia" w:ascii="仿宋_GB2312" w:eastAsia="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b/>
          <w:bCs/>
          <w:color w:val="000000" w:themeColor="text1"/>
          <w:sz w:val="32"/>
          <w:szCs w:val="32"/>
          <w:highlight w:val="none"/>
          <w14:textFill>
            <w14:solidFill>
              <w14:schemeClr w14:val="tx1"/>
            </w14:solidFill>
          </w14:textFill>
        </w:rPr>
        <w:t>与重要国际组织的关系，及其在全球治理中发挥的作用。</w:t>
      </w:r>
    </w:p>
    <w:p w14:paraId="56FE0E45">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第十二章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与中国关系</w:t>
      </w:r>
    </w:p>
    <w:p w14:paraId="2BA1014D">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历史渊源与时代发展</w:t>
      </w:r>
    </w:p>
    <w:p w14:paraId="4DF9038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政治互信与外交往来</w:t>
      </w:r>
    </w:p>
    <w:p w14:paraId="1C16FB30">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贸易投资与经济合作</w:t>
      </w:r>
    </w:p>
    <w:p w14:paraId="5219854F">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第四节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人文交流与文明互鉴</w:t>
      </w:r>
    </w:p>
    <w:p w14:paraId="3776BAB2">
      <w:pPr>
        <w:pStyle w:val="10"/>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与上版相比，该章为新增。</w:t>
      </w:r>
      <w:r>
        <w:rPr>
          <w:rFonts w:hint="eastAsia" w:ascii="仿宋_GB2312" w:eastAsia="仿宋_GB2312"/>
          <w:color w:val="000000" w:themeColor="text1"/>
          <w:sz w:val="32"/>
          <w:szCs w:val="32"/>
          <w:highlight w:val="none"/>
          <w14:textFill>
            <w14:solidFill>
              <w14:schemeClr w14:val="tx1"/>
            </w14:solidFill>
          </w14:textFill>
        </w:rPr>
        <w:t>根据国别情况自主选择设置。如果不单独设章，则此部分内容可以作为一节放在对外关系一章当中。对于没有与中国建交的国家，这部分内容可以不写。如果单独设置该章，注意从研究对象国的角度行文表述，内容应包括历史关系、政治互信、经济合作、人文交流等内容，</w:t>
      </w:r>
      <w:r>
        <w:rPr>
          <w:rFonts w:hint="eastAsia" w:ascii="仿宋_GB2312" w:eastAsia="仿宋_GB2312"/>
          <w:b/>
          <w:bCs/>
          <w:color w:val="000000" w:themeColor="text1"/>
          <w:sz w:val="32"/>
          <w:szCs w:val="32"/>
          <w:highlight w:val="none"/>
          <w14:textFill>
            <w14:solidFill>
              <w14:schemeClr w14:val="tx1"/>
            </w14:solidFill>
          </w14:textFill>
        </w:rPr>
        <w:t>重点论述“一带一路”倡议提出以来，中国与该研究对象国家在共建“一带一路”、落实“三大倡议”、构建人类命运共同体方面所取得的成就。</w:t>
      </w:r>
    </w:p>
    <w:p w14:paraId="438FAC99">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cs="Times New Roman"/>
          <w:bCs/>
          <w:color w:val="000000" w:themeColor="text1"/>
          <w:sz w:val="32"/>
          <w:szCs w:val="32"/>
          <w:highlight w:val="none"/>
          <w14:textFill>
            <w14:solidFill>
              <w14:schemeClr w14:val="tx1"/>
            </w14:solidFill>
          </w14:textFill>
        </w:rPr>
      </w:pPr>
      <w:r>
        <w:rPr>
          <w:rFonts w:ascii="Times New Roman" w:hAnsi="Times New Roman" w:eastAsia="楷体_GB2312" w:cs="Times New Roman"/>
          <w:bCs/>
          <w:color w:val="000000" w:themeColor="text1"/>
          <w:sz w:val="32"/>
          <w:szCs w:val="32"/>
          <w:highlight w:val="none"/>
          <w14:textFill>
            <w14:solidFill>
              <w14:schemeClr w14:val="tx1"/>
            </w14:solidFill>
          </w14:textFill>
        </w:rPr>
        <w:t>辅文部分</w:t>
      </w:r>
    </w:p>
    <w:p w14:paraId="0460C2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（1）大事纪年</w:t>
      </w:r>
    </w:p>
    <w:p w14:paraId="46B012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旨在方便读者在短时间内了解一国的发展线索和阶段特征，根据公元纪年摘编若干大事要点，切忌面面俱到，只列举曾经产生过重大影响的事件即可。大事纪年列举的内容应与正文内容相一致，并注意时间上的连贯与均衡。</w:t>
      </w:r>
    </w:p>
    <w:p w14:paraId="6E2D0A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（2）参考文献</w:t>
      </w:r>
    </w:p>
    <w:p w14:paraId="33C3E6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旨在方便读者延伸阅读，满足读者进一步了解和研究该对象国家的需要。挑选原则一是权威工具书、资料集，二是有关该研究对象国家的经典著作、最新研究成果，三是相关网站。参考文献要尽可能全面，既要有原始文献，也要有当代的文献，尽量选择质量较高的，至于对象国语言文献，可根据国情具体把握、灵活处理。</w:t>
      </w:r>
    </w:p>
    <w:p w14:paraId="661A67C0">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（3）后记</w:t>
      </w:r>
    </w:p>
    <w:p w14:paraId="2B1987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主要用来说明写作背景、成稿经过、人员分工以及致谢等。</w:t>
      </w:r>
    </w:p>
    <w:p w14:paraId="0B53A6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p>
    <w:p w14:paraId="78BEF6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四、新编《国际组织志》基本内容设置</w:t>
      </w:r>
    </w:p>
    <w:p w14:paraId="7F0BE3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前言</w:t>
      </w:r>
    </w:p>
    <w:p w14:paraId="10ABC01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 xml:space="preserve">    围绕为什么选择该国际组织，目前国内外有关该国际组织的研究现状，全书内容框架，以及新时代关于该国际组织及其所在领域需要进一步研究的问题等展开论述，为正文论述分析做好铺垫。</w:t>
      </w:r>
    </w:p>
    <w:p w14:paraId="1FE65C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 xml:space="preserve">第一章 </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sz w:val="32"/>
          <w:szCs w:val="32"/>
          <w:highlight w:val="none"/>
          <w14:textFill>
            <w14:solidFill>
              <w14:schemeClr w14:val="tx1"/>
            </w14:solidFill>
          </w14:textFill>
        </w:rPr>
        <w:t>历史沿革</w:t>
      </w:r>
    </w:p>
    <w:p w14:paraId="47DA2B11">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系统介绍该国际组织的历史起源、发起目的、发展演变，以及在不同历史阶段的重要人物，阐释分析该国际组织的现实和思想渊源。</w:t>
      </w:r>
    </w:p>
    <w:p w14:paraId="403842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 xml:space="preserve">第二章 </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sz w:val="32"/>
          <w:szCs w:val="32"/>
          <w:highlight w:val="none"/>
          <w14:textFill>
            <w14:solidFill>
              <w14:schemeClr w14:val="tx1"/>
            </w14:solidFill>
          </w14:textFill>
        </w:rPr>
        <w:t>机构建设</w:t>
      </w:r>
    </w:p>
    <w:p w14:paraId="279628C9">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全面介绍该国际组织的宗旨、重要文件、机构、决策、财政、成员等基本情况，在此基础上分析该国际组织的基本制度设计和运作模式的特点。</w:t>
      </w:r>
    </w:p>
    <w:p w14:paraId="0D7928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 xml:space="preserve">第三章 </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sz w:val="32"/>
          <w:szCs w:val="32"/>
          <w:highlight w:val="none"/>
          <w14:textFill>
            <w14:solidFill>
              <w14:schemeClr w14:val="tx1"/>
            </w14:solidFill>
          </w14:textFill>
        </w:rPr>
        <w:t>行动领域</w:t>
      </w:r>
    </w:p>
    <w:p w14:paraId="22CD1B58">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根据该国际组织的职能范围，具体研究分析其在政治军事、经济贸易、社会发展、文化教育、科学技术、环境保护等领域的活动，通过的重要文件，召开的重要会议，参与的重大国际问题，取得的主要成就以及存在的问题等，评估其国际影响力以及影响该国际组织作用发挥的关键因素。可根据该国际组织的具体行动领域，设置多个章节，选取多个典型的、有影响的案例进行论述。</w:t>
      </w:r>
    </w:p>
    <w:p w14:paraId="2F34D6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第四章  国际影响</w:t>
      </w:r>
    </w:p>
    <w:p w14:paraId="53288C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围绕该国际组织，重点关注世界主要国家（除中国外）的参与情况，通过多边合作案例，评估其在全球治理各领域中的作用与影响。</w:t>
      </w:r>
    </w:p>
    <w:p w14:paraId="74CD0C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第五章  中国作用</w:t>
      </w:r>
    </w:p>
    <w:p w14:paraId="44952B09">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围绕中国加入该国际组织的背景及过程、中国在该国际组织中的作用等展开系统论述，评估中国在该国际组织行动领域的影响和未来发展趋势。</w:t>
      </w:r>
    </w:p>
    <w:p w14:paraId="778054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color w:val="000000" w:themeColor="text1"/>
          <w:sz w:val="32"/>
          <w:szCs w:val="32"/>
          <w:highlight w:val="none"/>
          <w14:textFill>
            <w14:solidFill>
              <w14:schemeClr w14:val="tx1"/>
            </w14:solidFill>
          </w14:textFill>
        </w:rPr>
      </w:pPr>
      <w:r>
        <w:rPr>
          <w:rFonts w:ascii="黑体" w:hAnsi="黑体" w:eastAsia="黑体" w:cs="Times New Roman"/>
          <w:color w:val="000000" w:themeColor="text1"/>
          <w:sz w:val="32"/>
          <w:szCs w:val="32"/>
          <w:highlight w:val="none"/>
          <w14:textFill>
            <w14:solidFill>
              <w14:schemeClr w14:val="tx1"/>
            </w14:solidFill>
          </w14:textFill>
        </w:rPr>
        <w:t xml:space="preserve">第六章  </w:t>
      </w:r>
      <w:r>
        <w:rPr>
          <w:rFonts w:hint="eastAsia" w:ascii="黑体" w:hAnsi="黑体" w:eastAsia="黑体" w:cs="Times New Roman"/>
          <w:color w:val="000000" w:themeColor="text1"/>
          <w:sz w:val="32"/>
          <w:szCs w:val="32"/>
          <w:highlight w:val="none"/>
          <w14:textFill>
            <w14:solidFill>
              <w14:schemeClr w14:val="tx1"/>
            </w14:solidFill>
          </w14:textFill>
        </w:rPr>
        <w:t>改革与</w:t>
      </w:r>
      <w:r>
        <w:rPr>
          <w:rFonts w:ascii="黑体" w:hAnsi="黑体" w:eastAsia="黑体" w:cs="Times New Roman"/>
          <w:color w:val="000000" w:themeColor="text1"/>
          <w:sz w:val="32"/>
          <w:szCs w:val="32"/>
          <w:highlight w:val="none"/>
          <w14:textFill>
            <w14:solidFill>
              <w14:schemeClr w14:val="tx1"/>
            </w14:solidFill>
          </w14:textFill>
        </w:rPr>
        <w:t>发展</w:t>
      </w:r>
    </w:p>
    <w:p w14:paraId="50DA00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就该国际组织改革方向、在世界舞台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的地位、面临的主要问题、存在的主要争议，以及未来发展趋势等，进行归</w:t>
      </w:r>
      <w:bookmarkStart w:id="1" w:name="_GoBack"/>
      <w:bookmarkEnd w:id="1"/>
      <w:r>
        <w:rPr>
          <w:rFonts w:hint="eastAsia" w:ascii="Times New Roman" w:hAnsi="Times New Roman" w:eastAsia="仿宋_GB2312" w:cs="Times New Roman"/>
          <w:color w:val="000000" w:themeColor="text1"/>
          <w:sz w:val="32"/>
          <w:szCs w:val="32"/>
          <w:highlight w:val="none"/>
          <w14:textFill>
            <w14:solidFill>
              <w14:schemeClr w14:val="tx1"/>
            </w14:solidFill>
          </w14:textFill>
        </w:rPr>
        <w:t>纳总结。</w:t>
      </w:r>
    </w:p>
    <w:sectPr>
      <w:footerReference r:id="rId4" w:type="default"/>
      <w:pgSz w:w="11906" w:h="16838"/>
      <w:pgMar w:top="2041" w:right="1531" w:bottom="1984" w:left="1531" w:header="85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1F991A-E6D1-4B29-833E-A5D63B5861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Sans">
    <w:panose1 w:val="00000500000000000000"/>
    <w:charset w:val="86"/>
    <w:family w:val="auto"/>
    <w:pitch w:val="default"/>
    <w:sig w:usb0="00000001" w:usb1="0A0F1810"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E51B9448-033E-4BCD-844D-776CFC433113}"/>
  </w:font>
  <w:font w:name="方正小标宋简体">
    <w:panose1 w:val="02000000000000000000"/>
    <w:charset w:val="86"/>
    <w:family w:val="script"/>
    <w:pitch w:val="default"/>
    <w:sig w:usb0="00000001" w:usb1="08000000" w:usb2="00000000" w:usb3="00000000" w:csb0="00040000" w:csb1="00000000"/>
    <w:embedRegular r:id="rId3" w:fontKey="{E6FD1D44-9B03-4D6C-B8B6-24BA49CA9C6E}"/>
  </w:font>
  <w:font w:name="仿宋_GB2312">
    <w:panose1 w:val="02010609030101010101"/>
    <w:charset w:val="86"/>
    <w:family w:val="modern"/>
    <w:pitch w:val="default"/>
    <w:sig w:usb0="00000001" w:usb1="080E0000" w:usb2="00000000" w:usb3="00000000" w:csb0="00040000" w:csb1="00000000"/>
    <w:embedRegular r:id="rId4" w:fontKey="{E266478B-8B3F-4B97-A7DC-C87F30B59EA9}"/>
  </w:font>
  <w:font w:name="楷体_GB2312">
    <w:panose1 w:val="02010609030101010101"/>
    <w:charset w:val="86"/>
    <w:family w:val="modern"/>
    <w:pitch w:val="default"/>
    <w:sig w:usb0="00000001" w:usb1="080E0000" w:usb2="00000000" w:usb3="00000000" w:csb0="00040000" w:csb1="00000000"/>
    <w:embedRegular r:id="rId5" w:fontKey="{48219CF1-4C00-43CD-9A85-A02F65A2898C}"/>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7F95">
    <w:pPr>
      <w:pStyle w:val="3"/>
      <w:jc w:val="both"/>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F9FB3">
                          <w:pPr>
                            <w:pStyle w:val="3"/>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F9FB3">
                    <w:pPr>
                      <w:pStyle w:val="3"/>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txbxContent>
              </v:textbox>
            </v:shape>
          </w:pict>
        </mc:Fallback>
      </mc:AlternateContent>
    </w:r>
  </w:p>
  <w:p w14:paraId="70EB345A">
    <w:pPr>
      <w:pStyle w:val="3"/>
      <w:jc w:val="both"/>
      <w:rPr>
        <w:rFonts w:hint="default"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C82D5A0">
      <w:pPr>
        <w:pStyle w:val="5"/>
        <w:ind w:left="118" w:leftChars="0" w:hanging="118" w:hangingChars="66"/>
        <w:jc w:val="both"/>
        <w:rPr>
          <w:rFonts w:hint="default" w:ascii="Times New Roman" w:hAnsi="Times New Roman" w:cs="Times New Roman" w:eastAsiaTheme="minorEastAsia"/>
        </w:rPr>
      </w:pPr>
      <w:r>
        <w:rPr>
          <w:rStyle w:val="9"/>
          <w:rFonts w:hint="default" w:ascii="Times New Roman" w:hAnsi="Times New Roman" w:cs="Times New Roman" w:eastAsiaTheme="minorEastAsia"/>
        </w:rPr>
        <w:footnoteRef/>
      </w:r>
      <w:r>
        <w:rPr>
          <w:rFonts w:hint="default" w:ascii="Times New Roman" w:hAnsi="Times New Roman" w:cs="Times New Roman" w:eastAsiaTheme="minorEastAsia"/>
        </w:rPr>
        <w:t xml:space="preserve"> 鉴于世界各国之间差别较大，国别研究的程度也不尽相同，作者在撰写过程中，需要根据实际情况对内容框架进行自主设计，总结凝练各层级标题，确保章节篇幅相对均衡。作者可根据国别特色进行调整，如果对象国在某些领域没有内容可写就不要硬凑，鼓励在二三级标题设置上体现国别特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C382"/>
    <w:multiLevelType w:val="singleLevel"/>
    <w:tmpl w:val="9BAEC382"/>
    <w:lvl w:ilvl="0" w:tentative="0">
      <w:start w:val="1"/>
      <w:numFmt w:val="chineseCounting"/>
      <w:suff w:val="space"/>
      <w:lvlText w:val="第%1节"/>
      <w:lvlJc w:val="left"/>
      <w:rPr>
        <w:rFonts w:hint="eastAsia"/>
      </w:rPr>
    </w:lvl>
  </w:abstractNum>
  <w:abstractNum w:abstractNumId="1">
    <w:nsid w:val="AD1C3030"/>
    <w:multiLevelType w:val="singleLevel"/>
    <w:tmpl w:val="AD1C3030"/>
    <w:lvl w:ilvl="0" w:tentative="0">
      <w:start w:val="1"/>
      <w:numFmt w:val="chineseCounting"/>
      <w:suff w:val="space"/>
      <w:lvlText w:val="第%1节"/>
      <w:lvlJc w:val="left"/>
      <w:rPr>
        <w:rFonts w:hint="eastAsia"/>
      </w:rPr>
    </w:lvl>
  </w:abstractNum>
  <w:abstractNum w:abstractNumId="2">
    <w:nsid w:val="BEA07361"/>
    <w:multiLevelType w:val="singleLevel"/>
    <w:tmpl w:val="BEA07361"/>
    <w:lvl w:ilvl="0" w:tentative="0">
      <w:start w:val="1"/>
      <w:numFmt w:val="chineseCounting"/>
      <w:suff w:val="space"/>
      <w:lvlText w:val="第%1节"/>
      <w:lvlJc w:val="left"/>
      <w:rPr>
        <w:rFonts w:hint="eastAsia" w:ascii="黑体" w:hAnsi="黑体" w:eastAsia="黑体" w:cs="黑体"/>
        <w:b w:val="0"/>
        <w:bCs w:val="0"/>
      </w:rPr>
    </w:lvl>
  </w:abstractNum>
  <w:abstractNum w:abstractNumId="3">
    <w:nsid w:val="EED0911F"/>
    <w:multiLevelType w:val="singleLevel"/>
    <w:tmpl w:val="EED0911F"/>
    <w:lvl w:ilvl="0" w:tentative="0">
      <w:start w:val="1"/>
      <w:numFmt w:val="chineseCounting"/>
      <w:suff w:val="space"/>
      <w:lvlText w:val="第%1节"/>
      <w:lvlJc w:val="left"/>
      <w:rPr>
        <w:rFonts w:hint="eastAsia"/>
      </w:rPr>
    </w:lvl>
  </w:abstractNum>
  <w:abstractNum w:abstractNumId="4">
    <w:nsid w:val="F6218237"/>
    <w:multiLevelType w:val="singleLevel"/>
    <w:tmpl w:val="F6218237"/>
    <w:lvl w:ilvl="0" w:tentative="0">
      <w:start w:val="1"/>
      <w:numFmt w:val="chineseCounting"/>
      <w:suff w:val="nothing"/>
      <w:lvlText w:val="%1、"/>
      <w:lvlJc w:val="left"/>
      <w:rPr>
        <w:rFonts w:hint="eastAsia"/>
      </w:rPr>
    </w:lvl>
  </w:abstractNum>
  <w:abstractNum w:abstractNumId="5">
    <w:nsid w:val="39150937"/>
    <w:multiLevelType w:val="singleLevel"/>
    <w:tmpl w:val="39150937"/>
    <w:lvl w:ilvl="0" w:tentative="0">
      <w:start w:val="1"/>
      <w:numFmt w:val="chineseCounting"/>
      <w:suff w:val="space"/>
      <w:lvlText w:val="第%1节"/>
      <w:lvlJc w:val="left"/>
      <w:rPr>
        <w:rFonts w:hint="eastAsia"/>
      </w:rPr>
    </w:lvl>
  </w:abstractNum>
  <w:abstractNum w:abstractNumId="6">
    <w:nsid w:val="3D0F9DC7"/>
    <w:multiLevelType w:val="singleLevel"/>
    <w:tmpl w:val="3D0F9DC7"/>
    <w:lvl w:ilvl="0" w:tentative="0">
      <w:start w:val="1"/>
      <w:numFmt w:val="chineseCounting"/>
      <w:suff w:val="space"/>
      <w:lvlText w:val="第%1节"/>
      <w:lvlJc w:val="left"/>
      <w:rPr>
        <w:rFonts w:hint="eastAsia"/>
      </w:rPr>
    </w:lvl>
  </w:abstractNum>
  <w:abstractNum w:abstractNumId="7">
    <w:nsid w:val="494903FF"/>
    <w:multiLevelType w:val="singleLevel"/>
    <w:tmpl w:val="494903FF"/>
    <w:lvl w:ilvl="0" w:tentative="0">
      <w:start w:val="1"/>
      <w:numFmt w:val="chineseCounting"/>
      <w:suff w:val="space"/>
      <w:lvlText w:val="第%1节"/>
      <w:lvlJc w:val="left"/>
      <w:rPr>
        <w:rFonts w:hint="eastAsia"/>
      </w:rPr>
    </w:lvl>
  </w:abstractNum>
  <w:abstractNum w:abstractNumId="8">
    <w:nsid w:val="633B7219"/>
    <w:multiLevelType w:val="singleLevel"/>
    <w:tmpl w:val="633B7219"/>
    <w:lvl w:ilvl="0" w:tentative="0">
      <w:start w:val="2"/>
      <w:numFmt w:val="decimal"/>
      <w:suff w:val="space"/>
      <w:lvlText w:val="%1."/>
      <w:lvlJc w:val="left"/>
    </w:lvl>
  </w:abstractNum>
  <w:abstractNum w:abstractNumId="9">
    <w:nsid w:val="647D5DF7"/>
    <w:multiLevelType w:val="multilevel"/>
    <w:tmpl w:val="647D5DF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9"/>
  </w:num>
  <w:num w:numId="3">
    <w:abstractNumId w:val="0"/>
  </w:num>
  <w:num w:numId="4">
    <w:abstractNumId w:val="2"/>
  </w:num>
  <w:num w:numId="5">
    <w:abstractNumId w:val="3"/>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4NDVhNzRhZmVhNTgyZWIwNzg5NDA4MTYxNTg2NzMifQ=="/>
    <w:docVar w:name="KSO_WPS_MARK_KEY" w:val="26400612-0524-4f6e-bc70-22aff8d088b1"/>
  </w:docVars>
  <w:rsids>
    <w:rsidRoot w:val="00DE72B4"/>
    <w:rsid w:val="0004208F"/>
    <w:rsid w:val="00192899"/>
    <w:rsid w:val="0027517F"/>
    <w:rsid w:val="00300FA2"/>
    <w:rsid w:val="00314C5F"/>
    <w:rsid w:val="00346DDC"/>
    <w:rsid w:val="003C2C6B"/>
    <w:rsid w:val="0049700F"/>
    <w:rsid w:val="005B30FC"/>
    <w:rsid w:val="00681B85"/>
    <w:rsid w:val="0080748F"/>
    <w:rsid w:val="009427D3"/>
    <w:rsid w:val="00A549BF"/>
    <w:rsid w:val="00B2382C"/>
    <w:rsid w:val="00B35620"/>
    <w:rsid w:val="00D46FEA"/>
    <w:rsid w:val="00DE72B4"/>
    <w:rsid w:val="00F92493"/>
    <w:rsid w:val="017A399C"/>
    <w:rsid w:val="01E90FC1"/>
    <w:rsid w:val="021135CD"/>
    <w:rsid w:val="04C3017D"/>
    <w:rsid w:val="067D77AC"/>
    <w:rsid w:val="06F06440"/>
    <w:rsid w:val="07F901A3"/>
    <w:rsid w:val="08A95BCD"/>
    <w:rsid w:val="09A82585"/>
    <w:rsid w:val="0B6750D8"/>
    <w:rsid w:val="0CDE1B33"/>
    <w:rsid w:val="0D783C37"/>
    <w:rsid w:val="0F0647EF"/>
    <w:rsid w:val="10440DCA"/>
    <w:rsid w:val="13312C05"/>
    <w:rsid w:val="19E0497B"/>
    <w:rsid w:val="1B100AD4"/>
    <w:rsid w:val="1C586B2A"/>
    <w:rsid w:val="1CA40F2E"/>
    <w:rsid w:val="1D774AFE"/>
    <w:rsid w:val="216B000E"/>
    <w:rsid w:val="22900265"/>
    <w:rsid w:val="267442D0"/>
    <w:rsid w:val="292B400C"/>
    <w:rsid w:val="2A052201"/>
    <w:rsid w:val="2B37787D"/>
    <w:rsid w:val="2EA3272B"/>
    <w:rsid w:val="2EBA4684"/>
    <w:rsid w:val="2F814D7E"/>
    <w:rsid w:val="2FDE3DAC"/>
    <w:rsid w:val="30110DE2"/>
    <w:rsid w:val="317E2405"/>
    <w:rsid w:val="321B107E"/>
    <w:rsid w:val="380F2E7D"/>
    <w:rsid w:val="38476FA2"/>
    <w:rsid w:val="3CC91D4F"/>
    <w:rsid w:val="3E5778E1"/>
    <w:rsid w:val="3F563FB4"/>
    <w:rsid w:val="3F9978C0"/>
    <w:rsid w:val="3FC477AA"/>
    <w:rsid w:val="414E0A80"/>
    <w:rsid w:val="43AE0D96"/>
    <w:rsid w:val="4554705A"/>
    <w:rsid w:val="455E7382"/>
    <w:rsid w:val="46D00A59"/>
    <w:rsid w:val="48236FEB"/>
    <w:rsid w:val="4881262B"/>
    <w:rsid w:val="4D3F076D"/>
    <w:rsid w:val="4D5F29B1"/>
    <w:rsid w:val="4E760ECF"/>
    <w:rsid w:val="4F0007A2"/>
    <w:rsid w:val="4FD6470C"/>
    <w:rsid w:val="50270C24"/>
    <w:rsid w:val="51220EAF"/>
    <w:rsid w:val="569677B6"/>
    <w:rsid w:val="5713106B"/>
    <w:rsid w:val="571F6D7F"/>
    <w:rsid w:val="584E7D94"/>
    <w:rsid w:val="5AE33DF0"/>
    <w:rsid w:val="5BA74225"/>
    <w:rsid w:val="5D917EDE"/>
    <w:rsid w:val="60242901"/>
    <w:rsid w:val="607912B9"/>
    <w:rsid w:val="60DC0870"/>
    <w:rsid w:val="61D16221"/>
    <w:rsid w:val="628101CF"/>
    <w:rsid w:val="636C1CB7"/>
    <w:rsid w:val="641B1426"/>
    <w:rsid w:val="66342B59"/>
    <w:rsid w:val="678A12C9"/>
    <w:rsid w:val="696A6892"/>
    <w:rsid w:val="6A4D0118"/>
    <w:rsid w:val="6CFB795B"/>
    <w:rsid w:val="6D380A28"/>
    <w:rsid w:val="6DC70BAC"/>
    <w:rsid w:val="6EAA13FD"/>
    <w:rsid w:val="6EEC4506"/>
    <w:rsid w:val="6FE0340A"/>
    <w:rsid w:val="71DE52B5"/>
    <w:rsid w:val="722E75E3"/>
    <w:rsid w:val="72403E90"/>
    <w:rsid w:val="76830152"/>
    <w:rsid w:val="7AF43695"/>
    <w:rsid w:val="7B1A3D3B"/>
    <w:rsid w:val="7B4D068C"/>
    <w:rsid w:val="7C712959"/>
    <w:rsid w:val="7D05194F"/>
    <w:rsid w:val="7FF52F01"/>
    <w:rsid w:val="DE6E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paragraph" w:styleId="10">
    <w:name w:val="List Paragraph"/>
    <w:basedOn w:val="1"/>
    <w:qFormat/>
    <w:uiPriority w:val="34"/>
    <w:pPr>
      <w:ind w:firstLine="420" w:firstLineChars="200"/>
    </w:pPr>
  </w:style>
  <w:style w:type="character" w:customStyle="1" w:styleId="11">
    <w:name w:val="页脚 字符"/>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5010</Words>
  <Characters>5024</Characters>
  <Lines>39</Lines>
  <Paragraphs>11</Paragraphs>
  <TotalTime>254</TotalTime>
  <ScaleCrop>false</ScaleCrop>
  <LinksUpToDate>false</LinksUpToDate>
  <CharactersWithSpaces>5151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2025-06-11T07:11:00Z</dcterms:created>
  <dc:creator>ssap</dc:creator>
  <cp:lastModifiedBy>君伟</cp:lastModifiedBy>
  <cp:lastPrinted>2025-08-28T07:41:00Z</cp:lastPrinted>
  <dcterms:modified xsi:type="dcterms:W3CDTF">2025-09-05T05:26:38Z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5D0E8B64D3CC4187B1EDB327569EC6C9_13</vt:lpwstr>
  </property>
  <property fmtid="{D5CDD505-2E9C-101B-9397-08002B2CF9AE}" pid="4" name="KSOTemplateDocerSaveRecord">
    <vt:lpwstr>eyJoZGlkIjoiN2ZkN2U0NTE2ZWZjNGNkOGYwMTY5ODIwZjEyYjUxNGMiLCJ1c2VySWQiOiI5NTYzNjIzNDcifQ==</vt:lpwstr>
  </property>
</Properties>
</file>