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中华书局</w:t>
      </w:r>
    </w:p>
    <w:p>
      <w:pPr>
        <w:jc w:val="center"/>
        <w:rPr>
          <w:b/>
          <w:color w:val="0000FF"/>
          <w:sz w:val="36"/>
          <w:szCs w:val="36"/>
        </w:rPr>
      </w:pPr>
      <w:r>
        <w:rPr>
          <w:rFonts w:hint="eastAsia"/>
          <w:b/>
          <w:color w:val="0000FF"/>
          <w:sz w:val="36"/>
          <w:szCs w:val="36"/>
        </w:rPr>
        <w:t>张远山《玉器之道——解密中国文明的源代码》</w:t>
      </w:r>
    </w:p>
    <w:p>
      <w:pPr>
        <w:jc w:val="center"/>
        <w:rPr>
          <w:b/>
          <w:sz w:val="28"/>
          <w:szCs w:val="28"/>
        </w:rPr>
      </w:pPr>
      <w:r>
        <w:rPr>
          <w:rFonts w:hint="eastAsia"/>
          <w:b/>
          <w:sz w:val="28"/>
          <w:szCs w:val="28"/>
        </w:rPr>
        <w:t>新书资料</w:t>
      </w:r>
    </w:p>
    <w:p>
      <w:pPr>
        <w:jc w:val="center"/>
        <w:rPr>
          <w:b/>
          <w:sz w:val="28"/>
          <w:szCs w:val="28"/>
        </w:rPr>
      </w:pPr>
    </w:p>
    <w:p>
      <w:pPr>
        <w:pStyle w:val="2"/>
        <w:widowControl/>
        <w:spacing w:line="360" w:lineRule="atLeast"/>
        <w:jc w:val="both"/>
        <w:rPr>
          <w:rFonts w:hint="eastAsia" w:eastAsia="宋体"/>
          <w:color w:val="FF0000"/>
          <w:kern w:val="0"/>
          <w:sz w:val="24"/>
          <w:szCs w:val="24"/>
          <w:lang w:eastAsia="zh-CN"/>
        </w:rPr>
      </w:pPr>
      <w:r>
        <w:rPr>
          <w:rFonts w:hint="eastAsia"/>
          <w:color w:val="FF0000"/>
          <w:kern w:val="0"/>
          <w:sz w:val="24"/>
          <w:szCs w:val="24"/>
        </w:rPr>
        <w:t>2100张高清全球玉器文物彩图，326种文献证据</w:t>
      </w:r>
      <w:r>
        <w:rPr>
          <w:rFonts w:hint="eastAsia"/>
          <w:color w:val="FF0000"/>
          <w:kern w:val="0"/>
          <w:sz w:val="24"/>
          <w:szCs w:val="24"/>
          <w:lang w:eastAsia="zh-CN"/>
        </w:rPr>
        <w:t>。</w:t>
      </w:r>
    </w:p>
    <w:p>
      <w:pPr>
        <w:pStyle w:val="2"/>
        <w:widowControl/>
        <w:spacing w:line="360" w:lineRule="atLeast"/>
        <w:jc w:val="both"/>
        <w:rPr>
          <w:rFonts w:hint="eastAsia"/>
          <w:color w:val="FF0000"/>
          <w:kern w:val="0"/>
          <w:sz w:val="24"/>
          <w:szCs w:val="24"/>
        </w:rPr>
      </w:pPr>
      <w:r>
        <w:rPr>
          <w:rFonts w:hint="eastAsia"/>
          <w:color w:val="FF0000"/>
          <w:kern w:val="0"/>
          <w:sz w:val="24"/>
          <w:szCs w:val="24"/>
        </w:rPr>
        <w:t>玉器收藏估值宝典，玉器研究指南。</w:t>
      </w:r>
    </w:p>
    <w:p>
      <w:pPr>
        <w:pStyle w:val="2"/>
        <w:widowControl/>
        <w:spacing w:line="360" w:lineRule="atLeast"/>
        <w:jc w:val="both"/>
        <w:rPr>
          <w:rFonts w:hint="default"/>
          <w:color w:val="262626"/>
          <w:sz w:val="24"/>
          <w:szCs w:val="24"/>
        </w:rPr>
      </w:pPr>
      <w:r>
        <w:rPr>
          <w:rFonts w:hint="eastAsia"/>
          <w:color w:val="FF0000"/>
          <w:kern w:val="0"/>
          <w:sz w:val="24"/>
          <w:szCs w:val="24"/>
        </w:rPr>
        <w:t>复原华夏知识总图，贯通华夏八千年史。欲读中国书，先观中国图。</w:t>
      </w:r>
    </w:p>
    <w:p>
      <w:pPr>
        <w:pStyle w:val="2"/>
        <w:widowControl/>
        <w:spacing w:line="360" w:lineRule="atLeast"/>
        <w:rPr>
          <w:rFonts w:hint="default"/>
          <w:color w:val="262626"/>
          <w:sz w:val="24"/>
          <w:szCs w:val="24"/>
        </w:rPr>
      </w:pPr>
      <w:r>
        <w:drawing>
          <wp:anchor distT="0" distB="0" distL="114300" distR="114300" simplePos="0" relativeHeight="251658240" behindDoc="1" locked="0" layoutInCell="1" allowOverlap="1">
            <wp:simplePos x="0" y="0"/>
            <wp:positionH relativeFrom="margin">
              <wp:align>right</wp:align>
            </wp:positionH>
            <wp:positionV relativeFrom="paragraph">
              <wp:posOffset>152400</wp:posOffset>
            </wp:positionV>
            <wp:extent cx="2540000" cy="3272155"/>
            <wp:effectExtent l="0" t="0" r="0" b="4445"/>
            <wp:wrapTight wrapText="bothSides">
              <wp:wrapPolygon>
                <wp:start x="0" y="0"/>
                <wp:lineTo x="0" y="21504"/>
                <wp:lineTo x="21384" y="21504"/>
                <wp:lineTo x="21384"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540000" cy="3272155"/>
                    </a:xfrm>
                    <a:prstGeom prst="rect">
                      <a:avLst/>
                    </a:prstGeom>
                    <a:noFill/>
                    <a:ln>
                      <a:noFill/>
                    </a:ln>
                  </pic:spPr>
                </pic:pic>
              </a:graphicData>
            </a:graphic>
          </wp:anchor>
        </w:drawing>
      </w:r>
    </w:p>
    <w:p>
      <w:pPr>
        <w:pStyle w:val="2"/>
        <w:widowControl/>
        <w:spacing w:line="360" w:lineRule="atLeast"/>
        <w:rPr>
          <w:rFonts w:hint="default"/>
          <w:color w:val="FF0000"/>
          <w:kern w:val="0"/>
          <w:sz w:val="24"/>
          <w:szCs w:val="24"/>
        </w:rPr>
      </w:pPr>
    </w:p>
    <w:p/>
    <w:p>
      <w:pPr>
        <w:rPr>
          <w:b/>
          <w:color w:val="0000FF"/>
          <w:sz w:val="24"/>
          <w:szCs w:val="24"/>
        </w:rPr>
      </w:pPr>
      <w:r>
        <w:rPr>
          <w:rFonts w:hint="eastAsia"/>
          <w:b/>
          <w:color w:val="0000FF"/>
          <w:sz w:val="24"/>
          <w:szCs w:val="24"/>
        </w:rPr>
        <w:t>基本信息</w:t>
      </w:r>
    </w:p>
    <w:p>
      <w:pPr>
        <w:spacing w:line="360" w:lineRule="auto"/>
        <w:ind w:firstLine="480" w:firstLineChars="200"/>
        <w:rPr>
          <w:rFonts w:ascii="宋体" w:hAnsi="宋体"/>
          <w:sz w:val="24"/>
        </w:rPr>
      </w:pPr>
    </w:p>
    <w:p>
      <w:pPr>
        <w:rPr>
          <w:rFonts w:ascii="宋体" w:hAnsi="宋体" w:cs="宋体"/>
          <w:sz w:val="24"/>
          <w:szCs w:val="24"/>
        </w:rPr>
      </w:pPr>
      <w:r>
        <w:rPr>
          <w:rFonts w:hint="eastAsia" w:ascii="宋体" w:hAnsi="宋体" w:cs="宋体"/>
          <w:b/>
          <w:sz w:val="24"/>
          <w:szCs w:val="24"/>
        </w:rPr>
        <w:t>作者</w:t>
      </w:r>
      <w:r>
        <w:rPr>
          <w:rFonts w:hint="eastAsia" w:ascii="宋体" w:hAnsi="宋体" w:cs="宋体"/>
          <w:sz w:val="24"/>
          <w:szCs w:val="24"/>
        </w:rPr>
        <w:t>：张远山</w:t>
      </w:r>
    </w:p>
    <w:p>
      <w:pPr>
        <w:rPr>
          <w:rFonts w:ascii="宋体" w:hAnsi="宋体" w:cs="宋体"/>
          <w:sz w:val="24"/>
          <w:szCs w:val="24"/>
        </w:rPr>
      </w:pPr>
      <w:r>
        <w:rPr>
          <w:rFonts w:hint="eastAsia" w:ascii="宋体" w:hAnsi="宋体" w:cs="宋体"/>
          <w:b/>
          <w:sz w:val="24"/>
          <w:szCs w:val="24"/>
        </w:rPr>
        <w:t>出版时间：</w:t>
      </w:r>
      <w:r>
        <w:rPr>
          <w:rFonts w:hint="eastAsia" w:ascii="宋体" w:hAnsi="宋体" w:cs="宋体"/>
          <w:sz w:val="24"/>
          <w:szCs w:val="24"/>
        </w:rPr>
        <w:t>201</w:t>
      </w:r>
      <w:r>
        <w:rPr>
          <w:rFonts w:ascii="宋体" w:hAnsi="宋体" w:cs="宋体"/>
          <w:sz w:val="24"/>
          <w:szCs w:val="24"/>
        </w:rPr>
        <w:t>8</w:t>
      </w:r>
      <w:r>
        <w:rPr>
          <w:rFonts w:hint="eastAsia" w:ascii="宋体" w:hAnsi="宋体" w:cs="宋体"/>
          <w:sz w:val="24"/>
          <w:szCs w:val="24"/>
        </w:rPr>
        <w:t>年8月</w:t>
      </w:r>
    </w:p>
    <w:p>
      <w:pPr>
        <w:rPr>
          <w:rFonts w:ascii="宋体" w:hAnsi="宋体" w:cs="宋体"/>
          <w:b/>
          <w:sz w:val="24"/>
          <w:szCs w:val="24"/>
        </w:rPr>
      </w:pPr>
      <w:r>
        <w:rPr>
          <w:rFonts w:hint="eastAsia" w:ascii="宋体" w:hAnsi="宋体" w:cs="宋体"/>
          <w:b/>
          <w:sz w:val="24"/>
          <w:szCs w:val="24"/>
        </w:rPr>
        <w:t>页数：</w:t>
      </w:r>
      <w:r>
        <w:rPr>
          <w:rFonts w:ascii="宋体" w:hAnsi="宋体" w:cs="宋体"/>
          <w:sz w:val="24"/>
          <w:szCs w:val="24"/>
        </w:rPr>
        <w:t>544</w:t>
      </w:r>
    </w:p>
    <w:p>
      <w:pPr>
        <w:rPr>
          <w:rFonts w:ascii="宋体" w:hAnsi="宋体" w:cs="宋体"/>
          <w:sz w:val="24"/>
          <w:szCs w:val="24"/>
        </w:rPr>
      </w:pPr>
      <w:r>
        <w:rPr>
          <w:rFonts w:hint="eastAsia" w:ascii="宋体" w:hAnsi="宋体" w:cs="宋体"/>
          <w:b/>
          <w:sz w:val="24"/>
          <w:szCs w:val="24"/>
        </w:rPr>
        <w:t>定价：</w:t>
      </w:r>
      <w:r>
        <w:rPr>
          <w:rFonts w:ascii="宋体" w:hAnsi="宋体" w:cs="宋体"/>
          <w:sz w:val="24"/>
          <w:szCs w:val="24"/>
        </w:rPr>
        <w:t>1</w:t>
      </w:r>
      <w:r>
        <w:rPr>
          <w:rFonts w:hint="eastAsia" w:ascii="宋体" w:hAnsi="宋体" w:cs="宋体"/>
          <w:sz w:val="24"/>
          <w:szCs w:val="24"/>
        </w:rPr>
        <w:t>36元</w:t>
      </w:r>
    </w:p>
    <w:p>
      <w:pPr>
        <w:rPr>
          <w:rFonts w:ascii="宋体" w:hAnsi="宋体" w:cs="宋体"/>
          <w:sz w:val="24"/>
          <w:szCs w:val="24"/>
        </w:rPr>
      </w:pPr>
      <w:r>
        <w:rPr>
          <w:rFonts w:hint="eastAsia" w:ascii="宋体" w:hAnsi="宋体" w:cs="宋体"/>
          <w:b/>
          <w:sz w:val="24"/>
          <w:szCs w:val="24"/>
        </w:rPr>
        <w:t>装帧</w:t>
      </w:r>
      <w:r>
        <w:rPr>
          <w:rFonts w:hint="eastAsia" w:ascii="宋体" w:hAnsi="宋体" w:cs="宋体"/>
          <w:sz w:val="24"/>
          <w:szCs w:val="24"/>
        </w:rPr>
        <w:t>：精装（纸面布脊）</w:t>
      </w:r>
    </w:p>
    <w:p>
      <w:pPr>
        <w:rPr>
          <w:rFonts w:ascii="宋体" w:hAnsi="宋体" w:cs="宋体"/>
          <w:sz w:val="24"/>
          <w:szCs w:val="24"/>
        </w:rPr>
      </w:pPr>
      <w:r>
        <w:rPr>
          <w:rFonts w:hint="eastAsia" w:ascii="宋体" w:hAnsi="宋体" w:cs="宋体"/>
          <w:b/>
          <w:sz w:val="24"/>
          <w:szCs w:val="24"/>
        </w:rPr>
        <w:t>开本：</w:t>
      </w:r>
      <w:r>
        <w:rPr>
          <w:rFonts w:ascii="宋体" w:hAnsi="宋体" w:cs="宋体"/>
          <w:sz w:val="24"/>
          <w:szCs w:val="24"/>
        </w:rPr>
        <w:t>16</w:t>
      </w:r>
      <w:r>
        <w:rPr>
          <w:rFonts w:hint="eastAsia" w:ascii="宋体" w:hAnsi="宋体" w:cs="宋体"/>
          <w:sz w:val="24"/>
          <w:szCs w:val="24"/>
        </w:rPr>
        <w:t>开</w:t>
      </w:r>
    </w:p>
    <w:p>
      <w:pPr>
        <w:rPr>
          <w:rFonts w:ascii="宋体" w:hAnsi="宋体" w:cs="宋体"/>
          <w:sz w:val="24"/>
          <w:szCs w:val="24"/>
        </w:rPr>
      </w:pPr>
      <w:r>
        <w:rPr>
          <w:rFonts w:hint="eastAsia" w:ascii="宋体" w:hAnsi="宋体" w:cs="宋体"/>
          <w:b/>
          <w:sz w:val="24"/>
          <w:szCs w:val="24"/>
        </w:rPr>
        <w:t>字数：</w:t>
      </w:r>
      <w:r>
        <w:rPr>
          <w:rFonts w:ascii="宋体" w:hAnsi="宋体" w:cs="宋体"/>
          <w:sz w:val="24"/>
          <w:szCs w:val="24"/>
        </w:rPr>
        <w:t>442</w:t>
      </w:r>
      <w:r>
        <w:rPr>
          <w:rFonts w:hint="eastAsia" w:ascii="宋体" w:hAnsi="宋体" w:cs="宋体"/>
          <w:sz w:val="24"/>
          <w:szCs w:val="24"/>
        </w:rPr>
        <w:t>千字</w:t>
      </w:r>
    </w:p>
    <w:p>
      <w:pPr>
        <w:rPr>
          <w:rFonts w:ascii="宋体" w:hAnsi="宋体" w:cs="宋体"/>
          <w:sz w:val="24"/>
          <w:szCs w:val="24"/>
        </w:rPr>
      </w:pPr>
      <w:r>
        <w:rPr>
          <w:rFonts w:hint="eastAsia" w:ascii="宋体" w:hAnsi="宋体" w:cs="宋体"/>
          <w:b/>
          <w:sz w:val="24"/>
          <w:szCs w:val="24"/>
        </w:rPr>
        <w:t>ISBN：</w:t>
      </w:r>
      <w:r>
        <w:rPr>
          <w:rFonts w:hint="eastAsia" w:ascii="宋体" w:hAnsi="宋体" w:cs="宋体"/>
          <w:sz w:val="24"/>
          <w:szCs w:val="24"/>
        </w:rPr>
        <w:t>978-7-101-1</w:t>
      </w:r>
      <w:r>
        <w:rPr>
          <w:rFonts w:ascii="宋体" w:hAnsi="宋体" w:cs="宋体"/>
          <w:sz w:val="24"/>
          <w:szCs w:val="24"/>
        </w:rPr>
        <w:t>3397</w:t>
      </w:r>
      <w:r>
        <w:rPr>
          <w:rFonts w:hint="eastAsia" w:ascii="宋体" w:hAnsi="宋体" w:cs="宋体"/>
          <w:sz w:val="24"/>
          <w:szCs w:val="24"/>
        </w:rPr>
        <w:t>-</w:t>
      </w:r>
      <w:r>
        <w:rPr>
          <w:rFonts w:ascii="宋体" w:hAnsi="宋体" w:cs="宋体"/>
          <w:sz w:val="24"/>
          <w:szCs w:val="24"/>
        </w:rPr>
        <w:t>4</w:t>
      </w:r>
    </w:p>
    <w:p>
      <w:pPr>
        <w:tabs>
          <w:tab w:val="left" w:pos="720"/>
        </w:tabs>
        <w:autoSpaceDE w:val="0"/>
        <w:autoSpaceDN w:val="0"/>
        <w:adjustRightInd w:val="0"/>
        <w:spacing w:line="360" w:lineRule="auto"/>
        <w:ind w:right="18"/>
        <w:jc w:val="left"/>
        <w:rPr>
          <w:rFonts w:ascii="宋体" w:hAnsi="宋体"/>
          <w:sz w:val="24"/>
          <w:szCs w:val="24"/>
        </w:rPr>
      </w:pPr>
    </w:p>
    <w:p>
      <w:pPr>
        <w:tabs>
          <w:tab w:val="left" w:pos="720"/>
        </w:tabs>
        <w:autoSpaceDE w:val="0"/>
        <w:autoSpaceDN w:val="0"/>
        <w:adjustRightInd w:val="0"/>
        <w:spacing w:line="360" w:lineRule="auto"/>
        <w:ind w:right="18"/>
        <w:jc w:val="left"/>
        <w:rPr>
          <w:rFonts w:ascii="宋体" w:hAnsi="宋体"/>
          <w:sz w:val="24"/>
          <w:szCs w:val="24"/>
        </w:rPr>
      </w:pPr>
    </w:p>
    <w:p>
      <w:pPr>
        <w:tabs>
          <w:tab w:val="left" w:pos="720"/>
        </w:tabs>
        <w:autoSpaceDE w:val="0"/>
        <w:autoSpaceDN w:val="0"/>
        <w:adjustRightInd w:val="0"/>
        <w:spacing w:line="360" w:lineRule="auto"/>
        <w:ind w:right="18"/>
        <w:jc w:val="left"/>
        <w:rPr>
          <w:rFonts w:ascii="宋体" w:hAnsi="宋体"/>
          <w:sz w:val="24"/>
          <w:szCs w:val="24"/>
        </w:rPr>
      </w:pPr>
    </w:p>
    <w:p>
      <w:pPr>
        <w:rPr>
          <w:bCs/>
          <w:color w:val="0000FF"/>
          <w:sz w:val="24"/>
          <w:szCs w:val="24"/>
        </w:rPr>
      </w:pPr>
      <w:r>
        <w:rPr>
          <w:rFonts w:hint="eastAsia"/>
          <w:b/>
          <w:color w:val="0000FF"/>
          <w:sz w:val="24"/>
          <w:szCs w:val="24"/>
        </w:rPr>
        <w:t>编辑推荐</w:t>
      </w: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b/>
          <w:sz w:val="24"/>
        </w:rPr>
        <w:t>☆ 2100高清图，全国乃至全球重要玉器卧游宝籍，及寻访导游手册</w:t>
      </w:r>
    </w:p>
    <w:p>
      <w:pPr>
        <w:spacing w:line="360" w:lineRule="auto"/>
        <w:ind w:firstLine="480" w:firstLineChars="200"/>
        <w:rPr>
          <w:rFonts w:ascii="宋体" w:hAnsi="宋体"/>
          <w:sz w:val="24"/>
        </w:rPr>
      </w:pPr>
      <w:r>
        <w:rPr>
          <w:rFonts w:hint="eastAsia" w:ascii="宋体" w:hAnsi="宋体"/>
          <w:sz w:val="24"/>
        </w:rPr>
        <w:t>本书收录了采自1</w:t>
      </w:r>
      <w:r>
        <w:rPr>
          <w:rFonts w:ascii="宋体" w:hAnsi="宋体"/>
          <w:sz w:val="24"/>
        </w:rPr>
        <w:t>37</w:t>
      </w:r>
      <w:r>
        <w:rPr>
          <w:rFonts w:hint="eastAsia" w:ascii="宋体" w:hAnsi="宋体"/>
          <w:sz w:val="24"/>
        </w:rPr>
        <w:t>种考古文献的精美玉器上千件，一册在手，看尽8</w:t>
      </w:r>
      <w:r>
        <w:rPr>
          <w:rFonts w:ascii="宋体" w:hAnsi="宋体"/>
          <w:sz w:val="24"/>
        </w:rPr>
        <w:t>000</w:t>
      </w:r>
      <w:r>
        <w:rPr>
          <w:rFonts w:hint="eastAsia" w:ascii="宋体" w:hAnsi="宋体"/>
          <w:sz w:val="24"/>
        </w:rPr>
        <w:t>年华夏玉器，是没有条件去实地寻访的一般读者无尚的卧游神器。</w:t>
      </w:r>
    </w:p>
    <w:p>
      <w:pPr>
        <w:spacing w:line="360" w:lineRule="auto"/>
        <w:ind w:firstLine="480" w:firstLineChars="200"/>
        <w:rPr>
          <w:rFonts w:ascii="宋体" w:hAnsi="宋体"/>
          <w:sz w:val="24"/>
        </w:rPr>
      </w:pPr>
      <w:r>
        <w:rPr>
          <w:rFonts w:hint="eastAsia" w:ascii="宋体" w:hAnsi="宋体"/>
          <w:sz w:val="24"/>
        </w:rPr>
        <w:t>图表索引详尽地注明了玉器图片的出处，特别重要的还直接注明藏于哪家博物馆，为寻访玉器提供了重要线索。</w:t>
      </w:r>
    </w:p>
    <w:p>
      <w:pPr>
        <w:spacing w:line="360" w:lineRule="auto"/>
        <w:rPr>
          <w:rFonts w:ascii="宋体" w:hAnsi="宋体"/>
          <w:b/>
          <w:sz w:val="24"/>
        </w:rPr>
      </w:pPr>
      <w:r>
        <w:rPr>
          <w:rFonts w:hint="eastAsia" w:ascii="宋体" w:hAnsi="宋体"/>
          <w:b/>
          <w:sz w:val="24"/>
        </w:rPr>
        <w:t>☆ 无可替代的玉器估值宝典，玉器收藏高级参考书</w:t>
      </w:r>
    </w:p>
    <w:p>
      <w:pPr>
        <w:spacing w:line="360" w:lineRule="auto"/>
        <w:ind w:firstLine="480" w:firstLineChars="200"/>
        <w:rPr>
          <w:rFonts w:ascii="宋体" w:hAnsi="宋体" w:cs="方正兰亭黑_GBK"/>
          <w:color w:val="000000"/>
          <w:sz w:val="24"/>
          <w:szCs w:val="24"/>
        </w:rPr>
      </w:pPr>
      <w:r>
        <w:rPr>
          <w:rFonts w:hint="eastAsia" w:ascii="宋体" w:hAnsi="宋体"/>
          <w:sz w:val="24"/>
        </w:rPr>
        <w:t>本书对所有玉器进行了精准的时代考证，作了精确命名和分类。循着本书论证线索，即可类推一切时代和类型的玉器，对玉器估值具有重大的参考价值。</w:t>
      </w:r>
    </w:p>
    <w:p>
      <w:pPr>
        <w:spacing w:line="360" w:lineRule="auto"/>
        <w:rPr>
          <w:rFonts w:ascii="宋体" w:hAnsi="宋体"/>
          <w:b/>
          <w:sz w:val="24"/>
        </w:rPr>
      </w:pPr>
      <w:r>
        <w:rPr>
          <w:rFonts w:hint="eastAsia" w:ascii="宋体" w:hAnsi="宋体"/>
          <w:b/>
          <w:sz w:val="24"/>
        </w:rPr>
        <w:t>☆ 326种文献，玉器研究高级文献指南</w:t>
      </w:r>
    </w:p>
    <w:p>
      <w:pPr>
        <w:spacing w:line="360" w:lineRule="auto"/>
        <w:ind w:firstLine="480" w:firstLineChars="200"/>
        <w:rPr>
          <w:rFonts w:ascii="宋体" w:hAnsi="宋体"/>
          <w:sz w:val="24"/>
          <w:szCs w:val="24"/>
        </w:rPr>
      </w:pPr>
      <w:r>
        <w:rPr>
          <w:rFonts w:hint="eastAsia" w:ascii="宋体" w:hAnsi="宋体"/>
          <w:sz w:val="24"/>
        </w:rPr>
        <w:t>本书是玉器研究专著，无论在观点价值还是文献价值上，都是价值空前的一本参考书。仅列于书后的主要参考文献就有3</w:t>
      </w:r>
      <w:r>
        <w:rPr>
          <w:rFonts w:ascii="宋体" w:hAnsi="宋体"/>
          <w:sz w:val="24"/>
        </w:rPr>
        <w:t>26</w:t>
      </w:r>
      <w:r>
        <w:rPr>
          <w:rFonts w:hint="eastAsia" w:ascii="宋体" w:hAnsi="宋体"/>
          <w:sz w:val="24"/>
        </w:rPr>
        <w:t>种：古籍2</w:t>
      </w:r>
      <w:r>
        <w:rPr>
          <w:rFonts w:ascii="宋体" w:hAnsi="宋体"/>
          <w:sz w:val="24"/>
        </w:rPr>
        <w:t>4</w:t>
      </w:r>
      <w:r>
        <w:rPr>
          <w:rFonts w:hint="eastAsia" w:ascii="宋体" w:hAnsi="宋体"/>
          <w:sz w:val="24"/>
        </w:rPr>
        <w:t>，考古报告7</w:t>
      </w:r>
      <w:r>
        <w:rPr>
          <w:rFonts w:ascii="宋体" w:hAnsi="宋体"/>
          <w:sz w:val="24"/>
        </w:rPr>
        <w:t>5</w:t>
      </w:r>
      <w:r>
        <w:rPr>
          <w:rFonts w:hint="eastAsia" w:ascii="宋体" w:hAnsi="宋体"/>
          <w:sz w:val="24"/>
        </w:rPr>
        <w:t>，考古简报6</w:t>
      </w:r>
      <w:r>
        <w:rPr>
          <w:rFonts w:ascii="宋体" w:hAnsi="宋体"/>
          <w:sz w:val="24"/>
        </w:rPr>
        <w:t>2</w:t>
      </w:r>
      <w:r>
        <w:rPr>
          <w:rFonts w:hint="eastAsia" w:ascii="宋体" w:hAnsi="宋体"/>
          <w:sz w:val="24"/>
        </w:rPr>
        <w:t>，研究资料3</w:t>
      </w:r>
      <w:r>
        <w:rPr>
          <w:rFonts w:ascii="宋体" w:hAnsi="宋体"/>
          <w:sz w:val="24"/>
        </w:rPr>
        <w:t>9</w:t>
      </w:r>
      <w:r>
        <w:rPr>
          <w:rFonts w:hint="eastAsia" w:ascii="宋体" w:hAnsi="宋体"/>
          <w:sz w:val="24"/>
        </w:rPr>
        <w:t>，学术专著6</w:t>
      </w:r>
      <w:r>
        <w:rPr>
          <w:rFonts w:ascii="宋体" w:hAnsi="宋体"/>
          <w:sz w:val="24"/>
        </w:rPr>
        <w:t>1</w:t>
      </w:r>
      <w:r>
        <w:rPr>
          <w:rFonts w:hint="eastAsia" w:ascii="宋体" w:hAnsi="宋体"/>
          <w:sz w:val="24"/>
        </w:rPr>
        <w:t>，学术论文6</w:t>
      </w:r>
      <w:r>
        <w:rPr>
          <w:rFonts w:ascii="宋体" w:hAnsi="宋体"/>
          <w:sz w:val="24"/>
        </w:rPr>
        <w:t>5</w:t>
      </w:r>
      <w:r>
        <w:rPr>
          <w:rFonts w:hint="eastAsia" w:ascii="宋体" w:hAnsi="宋体"/>
          <w:sz w:val="24"/>
        </w:rPr>
        <w:t>。由此延伸出去的相关文献更多。</w:t>
      </w:r>
    </w:p>
    <w:p>
      <w:pPr>
        <w:spacing w:line="360" w:lineRule="auto"/>
        <w:rPr>
          <w:rFonts w:ascii="宋体" w:hAnsi="宋体"/>
          <w:b/>
          <w:sz w:val="24"/>
        </w:rPr>
      </w:pPr>
      <w:r>
        <w:rPr>
          <w:rFonts w:hint="eastAsia" w:ascii="宋体" w:hAnsi="宋体"/>
          <w:b/>
          <w:sz w:val="24"/>
        </w:rPr>
        <w:t>☆ 中国古典文化研究高级参考书</w:t>
      </w:r>
    </w:p>
    <w:p>
      <w:pPr>
        <w:spacing w:line="360" w:lineRule="auto"/>
        <w:rPr>
          <w:rFonts w:ascii="宋体" w:hAnsi="宋体"/>
          <w:b/>
          <w:color w:val="C0504D"/>
          <w:sz w:val="24"/>
        </w:rPr>
      </w:pPr>
      <w:r>
        <w:rPr>
          <w:rFonts w:hint="eastAsia" w:ascii="宋体" w:hAnsi="宋体"/>
          <w:b/>
          <w:color w:val="C0504D"/>
          <w:sz w:val="24"/>
        </w:rPr>
        <w:t xml:space="preserve">    </w:t>
      </w:r>
      <w:r>
        <w:rPr>
          <w:rFonts w:hint="eastAsia" w:ascii="宋体" w:hAnsi="宋体"/>
          <w:sz w:val="24"/>
        </w:rPr>
        <w:t>本书涉及中国古代文化的众多领域，在相关领域都有惊人的、甚至颠覆性的结论。可作为中国文明探源、夏商周断代及中国玉器、古史、古天文、神话、考古、古文字研究高级参考书。</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rPr>
          <w:b/>
          <w:color w:val="000000"/>
          <w:sz w:val="24"/>
          <w:szCs w:val="24"/>
          <w:highlight w:val="yellow"/>
        </w:rPr>
      </w:pPr>
      <w:r>
        <w:rPr>
          <w:rFonts w:hint="eastAsia"/>
          <w:b/>
          <w:color w:val="0000FF"/>
          <w:sz w:val="24"/>
          <w:szCs w:val="24"/>
        </w:rPr>
        <w:t>内容简介</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本书将颠覆你关于玉的粗浅认知：</w:t>
      </w:r>
    </w:p>
    <w:p>
      <w:pPr>
        <w:spacing w:line="360" w:lineRule="auto"/>
        <w:ind w:firstLine="480" w:firstLineChars="200"/>
        <w:rPr>
          <w:rFonts w:ascii="宋体" w:hAnsi="宋体"/>
          <w:sz w:val="24"/>
        </w:rPr>
      </w:pPr>
      <w:r>
        <w:rPr>
          <w:rFonts w:hint="eastAsia" w:ascii="宋体" w:hAnsi="宋体"/>
          <w:sz w:val="24"/>
        </w:rPr>
        <w:t>玉=神：古人以玉为祭，主要是祭拜天上的各种神祇：北极天帝、北斗星君、四象大神（青龙、白虎、朱雀、玄武）、二十八宿诸神等，并在玉上刻画或雕塑众神形象或符号。</w:t>
      </w:r>
    </w:p>
    <w:p>
      <w:pPr>
        <w:spacing w:line="360" w:lineRule="auto"/>
        <w:ind w:firstLine="480" w:firstLineChars="200"/>
        <w:rPr>
          <w:rFonts w:ascii="宋体" w:hAnsi="宋体"/>
          <w:sz w:val="24"/>
        </w:rPr>
      </w:pPr>
      <w:r>
        <w:rPr>
          <w:rFonts w:hint="eastAsia" w:ascii="宋体" w:hAnsi="宋体"/>
          <w:sz w:val="24"/>
        </w:rPr>
        <w:t>玉=王：古代王者的一切，无不与玉相关——以玉为档、以玉为饰、以玉为礼、以玉为兵、以玉为祭、以玉为葬等等。</w:t>
      </w:r>
    </w:p>
    <w:p>
      <w:pPr>
        <w:spacing w:line="360" w:lineRule="auto"/>
        <w:ind w:firstLine="480" w:firstLineChars="200"/>
        <w:rPr>
          <w:rFonts w:ascii="宋体" w:hAnsi="宋体"/>
          <w:sz w:val="24"/>
        </w:rPr>
      </w:pPr>
      <w:r>
        <w:rPr>
          <w:rFonts w:hint="eastAsia" w:ascii="宋体" w:hAnsi="宋体"/>
          <w:sz w:val="24"/>
        </w:rPr>
        <w:t>玉=权：古代王者通过独占观天玉器、祭天玉器等重宝而独占天文研究权、天意解释权及天神祭拜权，并由此而独占人世的统治权。</w:t>
      </w:r>
    </w:p>
    <w:p>
      <w:pPr>
        <w:spacing w:line="360" w:lineRule="auto"/>
        <w:ind w:firstLine="480" w:firstLineChars="200"/>
        <w:rPr>
          <w:rFonts w:ascii="宋体" w:hAnsi="宋体"/>
          <w:sz w:val="24"/>
        </w:rPr>
      </w:pPr>
      <w:r>
        <w:rPr>
          <w:rFonts w:hint="eastAsia" w:ascii="宋体" w:hAnsi="宋体"/>
          <w:sz w:val="24"/>
        </w:rPr>
        <w:t>玉=书：古代王者以玉为密档和书籍，用以记载维系其统治合法性的一切核心知识——天文历法、天帝神祇、宗教神话、历史传说等等。</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rPr>
          <w:b/>
          <w:color w:val="0000FF"/>
          <w:sz w:val="24"/>
          <w:szCs w:val="24"/>
        </w:rPr>
      </w:pPr>
      <w:r>
        <w:rPr>
          <w:rFonts w:hint="eastAsia"/>
          <w:b/>
          <w:color w:val="0000FF"/>
          <w:sz w:val="24"/>
          <w:szCs w:val="24"/>
        </w:rPr>
        <w:t>作者简介</w:t>
      </w:r>
    </w:p>
    <w:p>
      <w:pPr>
        <w:spacing w:line="360" w:lineRule="auto"/>
        <w:ind w:firstLine="480" w:firstLineChars="200"/>
        <w:rPr>
          <w:rFonts w:ascii="宋体" w:hAnsi="宋体"/>
          <w:sz w:val="24"/>
        </w:rPr>
      </w:pPr>
    </w:p>
    <w:p>
      <w:pPr>
        <w:spacing w:line="360" w:lineRule="auto"/>
        <w:ind w:firstLine="482" w:firstLineChars="200"/>
        <w:rPr>
          <w:rFonts w:ascii="宋体" w:hAnsi="宋体" w:cs="宋体"/>
          <w:kern w:val="0"/>
          <w:sz w:val="24"/>
          <w:szCs w:val="24"/>
        </w:rPr>
      </w:pPr>
      <w:r>
        <w:rPr>
          <w:rFonts w:hint="eastAsia" w:ascii="宋体" w:hAnsi="宋体" w:cs="宋体"/>
          <w:b/>
          <w:kern w:val="0"/>
          <w:sz w:val="24"/>
          <w:szCs w:val="24"/>
        </w:rPr>
        <w:t>张远山，</w:t>
      </w:r>
      <w:r>
        <w:rPr>
          <w:rFonts w:hint="eastAsia" w:ascii="宋体" w:hAnsi="宋体" w:cs="宋体"/>
          <w:kern w:val="0"/>
          <w:sz w:val="24"/>
          <w:szCs w:val="24"/>
        </w:rPr>
        <w:t>现居上海。研究先秦学、伏羲学三十年，已出版哲学、史学、文学著作17部，海内外版本30种。代表作《伏羲之道》、《老庄之道》、庄学三书（《庄子奥义》《庄子复原本注译》《庄子传——战国纵横百年纪》）等。</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研究方向：先秦学（前2</w:t>
      </w:r>
      <w:r>
        <w:rPr>
          <w:rFonts w:ascii="宋体" w:hAnsi="宋体" w:cs="宋体"/>
          <w:kern w:val="0"/>
          <w:sz w:val="24"/>
          <w:szCs w:val="24"/>
        </w:rPr>
        <w:t>070</w:t>
      </w:r>
      <w:r>
        <w:rPr>
          <w:rFonts w:hint="eastAsia" w:ascii="宋体" w:hAnsi="宋体" w:cs="宋体"/>
          <w:kern w:val="0"/>
          <w:sz w:val="24"/>
          <w:szCs w:val="24"/>
        </w:rPr>
        <w:t>年～前2</w:t>
      </w:r>
      <w:r>
        <w:rPr>
          <w:rFonts w:ascii="宋体" w:hAnsi="宋体" w:cs="宋体"/>
          <w:kern w:val="0"/>
          <w:sz w:val="24"/>
          <w:szCs w:val="24"/>
        </w:rPr>
        <w:t>21</w:t>
      </w:r>
      <w:r>
        <w:rPr>
          <w:rFonts w:hint="eastAsia" w:ascii="宋体" w:hAnsi="宋体" w:cs="宋体"/>
          <w:kern w:val="0"/>
          <w:sz w:val="24"/>
          <w:szCs w:val="24"/>
        </w:rPr>
        <w:t>年）：诸子百家之学、战国史，重心是老子、庄子、公孙龙；伏羲学（前6</w:t>
      </w:r>
      <w:r>
        <w:rPr>
          <w:rFonts w:ascii="宋体" w:hAnsi="宋体" w:cs="宋体"/>
          <w:kern w:val="0"/>
          <w:sz w:val="24"/>
          <w:szCs w:val="24"/>
        </w:rPr>
        <w:t>200</w:t>
      </w:r>
      <w:r>
        <w:rPr>
          <w:rFonts w:hint="eastAsia" w:ascii="宋体" w:hAnsi="宋体" w:cs="宋体"/>
          <w:kern w:val="0"/>
          <w:sz w:val="24"/>
          <w:szCs w:val="24"/>
        </w:rPr>
        <w:t>年～前2</w:t>
      </w:r>
      <w:r>
        <w:rPr>
          <w:rFonts w:ascii="宋体" w:hAnsi="宋体" w:cs="宋体"/>
          <w:kern w:val="0"/>
          <w:sz w:val="24"/>
          <w:szCs w:val="24"/>
        </w:rPr>
        <w:t>070</w:t>
      </w:r>
      <w:r>
        <w:rPr>
          <w:rFonts w:hint="eastAsia" w:ascii="宋体" w:hAnsi="宋体" w:cs="宋体"/>
          <w:kern w:val="0"/>
          <w:sz w:val="24"/>
          <w:szCs w:val="24"/>
        </w:rPr>
        <w:t>年）：上古时代陶、玉、铜，炎黄之战，重心是夏商周三易、河图洛书、《山海经》、甲骨文、金文等。</w:t>
      </w:r>
    </w:p>
    <w:p>
      <w:pPr>
        <w:widowControl/>
        <w:spacing w:line="360" w:lineRule="auto"/>
        <w:ind w:firstLine="480" w:firstLineChars="200"/>
        <w:jc w:val="left"/>
        <w:rPr>
          <w:rFonts w:ascii="宋体" w:hAnsi="宋体" w:cs="宋体"/>
          <w:kern w:val="0"/>
          <w:sz w:val="24"/>
          <w:szCs w:val="24"/>
        </w:rPr>
      </w:pPr>
    </w:p>
    <w:p>
      <w:pPr>
        <w:rPr>
          <w:bCs/>
          <w:color w:val="0000FF"/>
          <w:sz w:val="24"/>
          <w:szCs w:val="24"/>
        </w:rPr>
      </w:pPr>
      <w:r>
        <w:rPr>
          <w:rFonts w:hint="eastAsia"/>
          <w:b/>
          <w:color w:val="0000FF"/>
          <w:sz w:val="24"/>
          <w:szCs w:val="24"/>
        </w:rPr>
        <w:t>目录</w:t>
      </w:r>
    </w:p>
    <w:p>
      <w:pPr>
        <w:widowControl/>
        <w:spacing w:line="360" w:lineRule="auto"/>
        <w:ind w:firstLine="480" w:firstLineChars="200"/>
        <w:jc w:val="left"/>
        <w:rPr>
          <w:rFonts w:ascii="宋体" w:hAnsi="宋体" w:cs="宋体"/>
          <w:kern w:val="0"/>
          <w:sz w:val="24"/>
          <w:szCs w:val="24"/>
        </w:rPr>
      </w:pPr>
    </w:p>
    <w:p>
      <w:pPr>
        <w:autoSpaceDE w:val="0"/>
        <w:autoSpaceDN w:val="0"/>
        <w:adjustRightInd w:val="0"/>
        <w:jc w:val="left"/>
        <w:rPr>
          <w:rFonts w:hint="eastAsia" w:ascii="宋体" w:hAnsi="宋体" w:cs="System"/>
          <w:bCs/>
          <w:kern w:val="0"/>
          <w:szCs w:val="21"/>
          <w:lang w:val="zh-CN"/>
        </w:rPr>
      </w:pPr>
    </w:p>
    <w:p>
      <w:pPr>
        <w:autoSpaceDE w:val="0"/>
        <w:autoSpaceDN w:val="0"/>
        <w:adjustRightInd w:val="0"/>
        <w:jc w:val="left"/>
        <w:rPr>
          <w:rFonts w:hint="eastAsia" w:ascii="宋体" w:hAnsi="宋体" w:cs="System"/>
          <w:bCs/>
          <w:kern w:val="0"/>
          <w:szCs w:val="21"/>
          <w:lang w:val="zh-CN"/>
        </w:rPr>
      </w:pPr>
      <w:r>
        <w:rPr>
          <w:rFonts w:hint="eastAsia" w:ascii="宋体" w:hAnsi="宋体" w:cs="System"/>
          <w:bCs/>
          <w:kern w:val="0"/>
          <w:szCs w:val="21"/>
          <w:lang w:val="zh-CN"/>
        </w:rPr>
        <w:t>前言　 复原华夏知识总图，贯通华夏八千年史</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
          <w:bCs/>
          <w:kern w:val="0"/>
          <w:szCs w:val="21"/>
          <w:lang w:val="zh-CN"/>
        </w:rPr>
      </w:pPr>
      <w:r>
        <w:rPr>
          <w:rFonts w:hint="eastAsia" w:ascii="宋体" w:hAnsi="宋体" w:cs="System"/>
          <w:b/>
          <w:bCs/>
          <w:kern w:val="0"/>
          <w:szCs w:val="21"/>
          <w:lang w:val="zh-CN"/>
        </w:rPr>
        <w:t>上编　玉器三族的玉器原理和天文之道</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第一章　玉器三族，用管窥天</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——上古玉器族、中古夏商周观天玉器总论</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伏羲族圭表测影，玉器族用管窥天　002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一、黄帝族观天玉器：兴隆洼玉琯，红山旋垣　004</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二、南蛮族观天玉器：河姆渡漆管，良渚玉琯　011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三、东夷族观天玉器：璇玑玉衡，原始浑天仪　015</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四、龙山时代观天玉器：多孔玉圭，星组定位仪　029</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五、夏商周观天玉器：承袭上古，兼收并蓄　034</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观天玉器属天文，祭天玉器属人文　039</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第二章　北极玄鼋，黄帝轩辕</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——黄帝族祭天、威仪、装饰玉器总论</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红山文化是黄帝族文化　041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一、“黄帝”“黄河”二名南移　042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二、黄帝族祭天玉器的天文来源　048</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三、黄帝族威仪玉器的天文对位　072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四、黄帝族装饰玉器的天文内涵　078</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黄帝族玉器无不源于天文　081</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第三章　万字开天，天帝骑猪</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——南蛮族祭天、威仪、装饰玉器总论</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南蛮族玉器后来居上　083</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一、河姆渡南蛮族的玉器发轫　084</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二、良渚南蛮族的玉器超越　091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三、良渚祭天玉器的天文来源　099</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四、良渚威仪玉器的天文对位　105</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五、良渚装饰玉器的天文内涵　113</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良渚文化的突然终结和后世影响　117</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第四章　融汇三族，下启三代</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——东夷族祭天、威仪、装饰玉器总论</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丁字路口的东夷族　119</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一、东夷族玉器的黄帝族元素　122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二、东夷族玉器的南蛮族元素　127</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三、东夷族玉器的伏羲族元素　130</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四、东夷族玉器的突破与创新　136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东夷族文化的后发优势和迅速终结　147</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第五章　龙山玉器，上古顶峰</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——龙山时代祭天、威仪、装饰玉器总论</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龙山玉器的三线西传　149</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一、西扩南蛮支族：石家河文化玉器　150</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二、龙山伏羲族：陶寺文化玉器和齐家文化玉器　182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三、西扩黄帝支族：石峁文化玉器　194</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彩陶东传玉器西传，华夏四族文化融合　207</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
          <w:bCs/>
          <w:kern w:val="0"/>
          <w:szCs w:val="21"/>
          <w:lang w:val="zh-CN"/>
        </w:rPr>
      </w:pPr>
      <w:r>
        <w:rPr>
          <w:rFonts w:hint="eastAsia" w:ascii="宋体" w:hAnsi="宋体" w:cs="System"/>
          <w:b/>
          <w:bCs/>
          <w:kern w:val="0"/>
          <w:szCs w:val="21"/>
          <w:lang w:val="zh-CN"/>
        </w:rPr>
        <w:t>下编　玉器之道的上古传播和后世影响</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第六章　 华夏万字符是四季北斗合成符</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——万字符传播史（上）</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万字四斗，柄指四季　212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一、南蛮族万字符北传东夷族黄帝族　212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二、玉器族万字符西传伏羲族　224</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三、玉器族万字符酷似伏羲族太极图　228</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四、“绝地天通”与夏商周秘藏万字符　232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五、夏商周日晷、盖图秘藏万字符　238</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六、秦汉六博棋、规矩镜秘藏万字符　240</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七、“秦火汉黜”延续“绝地天通”　247</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华夏首创万字符，中古秘藏沉忘川　249</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第七章　华夏万舞是万字符之舞</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——万字符传播史（中）</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万舞即万字符之舞　250</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一、万舞是华夏祭天乐舞通名　251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二、万舞第一舞姿模仿伏羲族天帝造型　256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三、万舞第二舞姿模仿南蛮族天帝造型　271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四、万舞第三舞姿模仿万字符造型　277</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五、甲骨文万字三体和金文万舞三姿　286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六、《诗经》三叠诗、雅乐三叠曲源于万舞三舞姿　291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万舞是华夏舞蹈音乐诗歌戏曲杂技武术总根　298</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第八章　 华夏万字符万舞全球传播史</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——万字符传播史（下）</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华夏万字符和华夏万舞传遍全球　302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一、华夏万字符东传美洲　303</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二、华夏万字符传遍亚洲　306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三、华夏万字符西传欧洲　311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四、全球万字符的天文解密　316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五、华夏万舞传遍全球　321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六、两千年后佛教万字符回传中国　332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七、万字符传统释义辨析　337</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探索上古文化传播的突破口　340</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第九章　昆仑台传播史</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——解密华夏文化核心奥秘“昆仑之谜”</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昆仑台、八角星之谜　343</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一、昆仑考源：葫芦→囫囵→混沦→昆仑　344</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二、伏羲族昆仑台首见之地：大地湾　345</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三、伏羲族昆仑台定型符号：八角星　356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四、伏羲族八角星东传玉器三族　363</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五、南蛮族按照八角星仿建昆仑台　367</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六、东夷族按照八角星仿建昆仑台　372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七、黄帝族按照八角星仿建昆仑台　373</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八、伏羲族圭木、玉器族玉琯融合于昆仑台　379</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九、《山海经》“昆仑”之谜　380</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十、《山海图》的亞形结构是亞形昆仑台的放大　386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十一、昆仑三层与明堂三层的专名　391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十二、农耕族的昆仑台与游牧族的库里台　394</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十三、盘古考源：葫芦→囫囵→匏瓜→盘古　396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“昆仑”之谜是华夏文化的核心奥秘　397</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第十章　顺天应人，以人合天</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——夏商周礼玉制度及祭天、威仪、装饰玉器总论</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弁言　夏商周统治者均为黄帝族　398</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一、文献记载的夏商周祭天玉器　399</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二、考古发现的夏商周祭天玉器　418</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三、考古发现的夏商周威仪玉器　432</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四、考古发现的夏商周装饰玉器　447</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五、考古发现的夏商周祭司玉人　458</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六、西周“以琮礼地”与盖天说“天圆地方”　463</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七、西周“玉器之德”违背华夏“玉器之道”　471</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结语　春秋战国礼崩乐坏，玉器古义沉入忘川　474</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附录1　图表索引　476</w:t>
      </w:r>
    </w:p>
    <w:p>
      <w:pPr>
        <w:autoSpaceDE w:val="0"/>
        <w:autoSpaceDN w:val="0"/>
        <w:adjustRightInd w:val="0"/>
        <w:jc w:val="left"/>
        <w:rPr>
          <w:rFonts w:ascii="宋体" w:hAnsi="宋体" w:cs="System"/>
          <w:bCs/>
          <w:kern w:val="0"/>
          <w:szCs w:val="21"/>
          <w:lang w:val="zh-CN"/>
        </w:rPr>
      </w:pPr>
      <w:r>
        <w:rPr>
          <w:rFonts w:hint="eastAsia" w:ascii="宋体" w:hAnsi="宋体" w:cs="System"/>
          <w:bCs/>
          <w:kern w:val="0"/>
          <w:szCs w:val="21"/>
          <w:lang w:val="zh-CN"/>
        </w:rPr>
        <w:t>附录2　参考文献　513</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hint="eastAsia" w:ascii="宋体" w:hAnsi="宋体" w:cs="System"/>
          <w:bCs/>
          <w:kern w:val="0"/>
          <w:szCs w:val="21"/>
          <w:lang w:val="zh-CN"/>
        </w:rPr>
      </w:pPr>
      <w:r>
        <w:rPr>
          <w:rFonts w:hint="eastAsia" w:ascii="宋体" w:hAnsi="宋体" w:cs="System"/>
          <w:bCs/>
          <w:kern w:val="0"/>
          <w:szCs w:val="21"/>
          <w:lang w:val="zh-CN"/>
        </w:rPr>
        <w:t>后记　穿越历史风沙，回到上古现场</w:t>
      </w:r>
    </w:p>
    <w:p>
      <w:pPr>
        <w:autoSpaceDE w:val="0"/>
        <w:autoSpaceDN w:val="0"/>
        <w:adjustRightInd w:val="0"/>
        <w:jc w:val="left"/>
        <w:rPr>
          <w:rFonts w:ascii="宋体" w:hAnsi="宋体" w:cs="System"/>
          <w:bCs/>
          <w:kern w:val="0"/>
          <w:szCs w:val="21"/>
          <w:lang w:val="zh-CN"/>
        </w:rPr>
      </w:pPr>
    </w:p>
    <w:p>
      <w:pPr>
        <w:autoSpaceDE w:val="0"/>
        <w:autoSpaceDN w:val="0"/>
        <w:adjustRightInd w:val="0"/>
        <w:jc w:val="left"/>
        <w:rPr>
          <w:rFonts w:ascii="宋体" w:hAnsi="宋体" w:cs="System"/>
          <w:bCs/>
          <w:kern w:val="0"/>
          <w:szCs w:val="21"/>
          <w:lang w:val="zh-CN"/>
        </w:rPr>
      </w:pPr>
    </w:p>
    <w:p>
      <w:pPr>
        <w:rPr>
          <w:b/>
          <w:color w:val="000000"/>
          <w:sz w:val="24"/>
          <w:szCs w:val="24"/>
          <w:highlight w:val="yellow"/>
          <w:lang w:val="zh-CN"/>
        </w:rPr>
      </w:pPr>
      <w:r>
        <w:rPr>
          <w:rFonts w:hint="eastAsia"/>
          <w:b/>
          <w:color w:val="0000FF"/>
          <w:sz w:val="24"/>
          <w:szCs w:val="24"/>
          <w:lang w:val="zh-CN"/>
        </w:rPr>
        <w:t>精彩章节</w:t>
      </w:r>
    </w:p>
    <w:p>
      <w:pPr>
        <w:rPr>
          <w:b/>
          <w:color w:val="0000FF"/>
          <w:sz w:val="24"/>
          <w:szCs w:val="24"/>
          <w:lang w:val="zh-CN"/>
        </w:rPr>
      </w:pP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jc w:val="center"/>
        <w:rPr>
          <w:rFonts w:ascii="宋体" w:hAnsi="宋体" w:cs="System"/>
          <w:b/>
          <w:bCs/>
          <w:color w:val="000000"/>
          <w:kern w:val="0"/>
          <w:sz w:val="28"/>
          <w:szCs w:val="28"/>
        </w:rPr>
      </w:pPr>
      <w:r>
        <w:rPr>
          <w:rFonts w:hint="eastAsia" w:ascii="宋体" w:hAnsi="宋体" w:cs="System"/>
          <w:b/>
          <w:bCs/>
          <w:color w:val="000000"/>
          <w:kern w:val="0"/>
          <w:sz w:val="28"/>
          <w:szCs w:val="28"/>
        </w:rPr>
        <w:t>四、</w:t>
      </w:r>
      <w:r>
        <w:rPr>
          <w:rFonts w:ascii="宋体" w:hAnsi="宋体" w:cs="System"/>
          <w:b/>
          <w:bCs/>
          <w:color w:val="000000"/>
          <w:kern w:val="0"/>
          <w:sz w:val="28"/>
          <w:szCs w:val="28"/>
        </w:rPr>
        <w:t>“</w:t>
      </w:r>
      <w:r>
        <w:rPr>
          <w:rFonts w:hint="eastAsia" w:ascii="宋体" w:hAnsi="宋体" w:cs="System"/>
          <w:b/>
          <w:bCs/>
          <w:color w:val="000000"/>
          <w:kern w:val="0"/>
          <w:sz w:val="28"/>
          <w:szCs w:val="28"/>
        </w:rPr>
        <w:t>绝地天通</w:t>
      </w:r>
      <w:r>
        <w:rPr>
          <w:rFonts w:ascii="宋体" w:hAnsi="宋体" w:cs="System"/>
          <w:b/>
          <w:bCs/>
          <w:color w:val="000000"/>
          <w:kern w:val="0"/>
          <w:sz w:val="28"/>
          <w:szCs w:val="28"/>
        </w:rPr>
        <w:t>”</w:t>
      </w:r>
      <w:r>
        <w:rPr>
          <w:rFonts w:hint="eastAsia" w:ascii="宋体" w:hAnsi="宋体" w:cs="System"/>
          <w:b/>
          <w:bCs/>
          <w:color w:val="000000"/>
          <w:kern w:val="0"/>
          <w:sz w:val="28"/>
          <w:szCs w:val="28"/>
        </w:rPr>
        <w:t>与夏商周秘藏万字符</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中古夏商周三代，承袭了上古华夏四族的万字符。但是黄帝族通过“炎黄之战”征服神农族、入主中原、建立夏朝以后，为了神化王权，实行“绝地天通”，导致夏商周的万字符极其罕见。</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学界对“绝地天通”的基本解释，是剥夺民间的祭天权利。这一解释并不确切，“绝地天通”的核心内容，实为严禁传播天文历法知识，包括天文历法符号。</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“绝地天通”的史实，最早见于《山海经·大荒西经》：</w:t>
      </w:r>
    </w:p>
    <w:p>
      <w:pPr>
        <w:autoSpaceDE w:val="0"/>
        <w:autoSpaceDN w:val="0"/>
        <w:adjustRightInd w:val="0"/>
        <w:ind w:firstLine="420" w:firstLineChars="200"/>
        <w:jc w:val="left"/>
        <w:rPr>
          <w:rFonts w:ascii="仿宋" w:hAnsi="仿宋" w:eastAsia="仿宋" w:cs="System"/>
          <w:bCs/>
          <w:kern w:val="0"/>
          <w:szCs w:val="21"/>
          <w:lang w:val="zh-CN"/>
        </w:rPr>
      </w:pPr>
    </w:p>
    <w:p>
      <w:pPr>
        <w:autoSpaceDE w:val="0"/>
        <w:autoSpaceDN w:val="0"/>
        <w:adjustRightInd w:val="0"/>
        <w:ind w:firstLine="420" w:firstLineChars="200"/>
        <w:jc w:val="left"/>
        <w:rPr>
          <w:rFonts w:ascii="仿宋" w:hAnsi="仿宋" w:eastAsia="仿宋" w:cs="System"/>
          <w:bCs/>
          <w:kern w:val="0"/>
          <w:szCs w:val="21"/>
          <w:lang w:val="zh-CN"/>
        </w:rPr>
      </w:pPr>
      <w:r>
        <w:rPr>
          <w:rFonts w:hint="eastAsia" w:ascii="仿宋" w:hAnsi="仿宋" w:eastAsia="仿宋" w:cs="System"/>
          <w:bCs/>
          <w:kern w:val="0"/>
          <w:szCs w:val="21"/>
          <w:lang w:val="zh-CN"/>
        </w:rPr>
        <w:t>大荒之中，有山名曰日月山，天枢也。吴姖天门，日月所入。有神，人面无臂，两足反属于头山，名曰嘘。</w:t>
      </w:r>
      <w:r>
        <w:rPr>
          <w:rFonts w:hint="eastAsia" w:ascii="仿宋" w:hAnsi="仿宋" w:eastAsia="仿宋" w:cs="System"/>
          <w:bCs/>
          <w:kern w:val="0"/>
          <w:szCs w:val="21"/>
          <w:em w:val="dot"/>
          <w:lang w:val="zh-CN"/>
        </w:rPr>
        <w:t>颛顼</w:t>
      </w:r>
      <w:r>
        <w:rPr>
          <w:rFonts w:hint="eastAsia" w:ascii="仿宋" w:hAnsi="仿宋" w:eastAsia="仿宋" w:cs="System"/>
          <w:bCs/>
          <w:kern w:val="0"/>
          <w:szCs w:val="21"/>
          <w:lang w:val="zh-CN"/>
        </w:rPr>
        <w:t>生老童，老童生重及黎。帝（颛顼）令</w:t>
      </w:r>
      <w:r>
        <w:rPr>
          <w:rFonts w:hint="eastAsia" w:ascii="仿宋" w:hAnsi="仿宋" w:eastAsia="仿宋" w:cs="System"/>
          <w:bCs/>
          <w:kern w:val="0"/>
          <w:szCs w:val="21"/>
          <w:em w:val="dot"/>
          <w:lang w:val="zh-CN"/>
        </w:rPr>
        <w:t>重</w:t>
      </w:r>
      <w:r>
        <w:rPr>
          <w:rFonts w:hint="eastAsia" w:ascii="仿宋" w:hAnsi="仿宋" w:eastAsia="仿宋" w:cs="System"/>
          <w:bCs/>
          <w:kern w:val="0"/>
          <w:szCs w:val="21"/>
          <w:lang w:val="zh-CN"/>
        </w:rPr>
        <w:t>献上天，令</w:t>
      </w:r>
      <w:r>
        <w:rPr>
          <w:rFonts w:hint="eastAsia" w:ascii="仿宋" w:hAnsi="仿宋" w:eastAsia="仿宋" w:cs="System"/>
          <w:bCs/>
          <w:kern w:val="0"/>
          <w:szCs w:val="21"/>
          <w:em w:val="dot"/>
          <w:lang w:val="zh-CN"/>
        </w:rPr>
        <w:t>黎</w:t>
      </w:r>
      <w:r>
        <w:rPr>
          <w:rFonts w:hint="eastAsia" w:ascii="仿宋" w:hAnsi="仿宋" w:eastAsia="仿宋" w:cs="System"/>
          <w:bCs/>
          <w:kern w:val="0"/>
          <w:szCs w:val="21"/>
          <w:lang w:val="zh-CN"/>
        </w:rPr>
        <w:t>抑下地。下地是生噎，处于西极，</w:t>
      </w:r>
      <w:r>
        <w:rPr>
          <w:rFonts w:hint="eastAsia" w:ascii="仿宋" w:hAnsi="仿宋" w:eastAsia="仿宋" w:cs="System"/>
          <w:bCs/>
          <w:kern w:val="0"/>
          <w:szCs w:val="21"/>
          <w:em w:val="dot"/>
          <w:lang w:val="zh-CN"/>
        </w:rPr>
        <w:t>以行日月星辰之行次</w:t>
      </w:r>
      <w:r>
        <w:rPr>
          <w:rFonts w:hint="eastAsia" w:ascii="仿宋" w:hAnsi="仿宋" w:eastAsia="仿宋" w:cs="System"/>
          <w:bCs/>
          <w:kern w:val="0"/>
          <w:szCs w:val="21"/>
          <w:lang w:val="zh-CN"/>
        </w:rPr>
        <w:t>。</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山海经》明言“绝地天通”的三大主角：颛顼、重、黎。又明言“绝地天通”的目的：颛顼让重、黎独掌“日月山”“天枢”“天门”“日月所入”“以行日月星辰之行次”。但是仅言“绝地天通”的史实，尚未概括为“绝地天通”四字。</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把这一史实概括为“绝地天通”的最早文献，是《尚书·周书·吕刑》：</w:t>
      </w:r>
    </w:p>
    <w:p>
      <w:pPr>
        <w:autoSpaceDE w:val="0"/>
        <w:autoSpaceDN w:val="0"/>
        <w:adjustRightInd w:val="0"/>
        <w:ind w:firstLine="420" w:firstLineChars="200"/>
        <w:jc w:val="left"/>
        <w:rPr>
          <w:rFonts w:ascii="仿宋" w:hAnsi="仿宋" w:eastAsia="仿宋" w:cs="System"/>
          <w:bCs/>
          <w:kern w:val="0"/>
          <w:szCs w:val="21"/>
          <w:lang w:val="zh-CN"/>
        </w:rPr>
      </w:pPr>
    </w:p>
    <w:p>
      <w:pPr>
        <w:autoSpaceDE w:val="0"/>
        <w:autoSpaceDN w:val="0"/>
        <w:adjustRightInd w:val="0"/>
        <w:ind w:firstLine="420" w:firstLineChars="200"/>
        <w:jc w:val="left"/>
        <w:rPr>
          <w:rFonts w:ascii="仿宋" w:hAnsi="仿宋" w:eastAsia="仿宋" w:cs="System"/>
          <w:bCs/>
          <w:kern w:val="0"/>
          <w:szCs w:val="21"/>
          <w:lang w:val="zh-CN"/>
        </w:rPr>
      </w:pPr>
      <w:r>
        <w:rPr>
          <w:rFonts w:hint="eastAsia" w:ascii="仿宋" w:hAnsi="仿宋" w:eastAsia="仿宋" w:cs="System"/>
          <w:bCs/>
          <w:kern w:val="0"/>
          <w:szCs w:val="21"/>
          <w:lang w:val="zh-CN"/>
        </w:rPr>
        <w:t>（周穆）王曰：若古有训，</w:t>
      </w:r>
      <w:r>
        <w:rPr>
          <w:rFonts w:hint="eastAsia" w:ascii="仿宋" w:hAnsi="仿宋" w:eastAsia="仿宋" w:cs="System"/>
          <w:bCs/>
          <w:kern w:val="0"/>
          <w:szCs w:val="21"/>
          <w:em w:val="dot"/>
          <w:lang w:val="zh-CN"/>
        </w:rPr>
        <w:t>蚩尤惟始作乱，罔中于信，以覆诅盟</w:t>
      </w:r>
      <w:r>
        <w:rPr>
          <w:rFonts w:hint="eastAsia" w:ascii="仿宋" w:hAnsi="仿宋" w:eastAsia="仿宋" w:cs="System"/>
          <w:bCs/>
          <w:kern w:val="0"/>
          <w:szCs w:val="21"/>
          <w:lang w:val="zh-CN"/>
        </w:rPr>
        <w:t>。（颛顼）哀矜庶戮之不辜，报虐以威，遏绝苗民，无世在下；</w:t>
      </w:r>
      <w:r>
        <w:rPr>
          <w:rFonts w:hint="eastAsia" w:ascii="仿宋" w:hAnsi="仿宋" w:eastAsia="仿宋" w:cs="System"/>
          <w:bCs/>
          <w:kern w:val="0"/>
          <w:szCs w:val="21"/>
          <w:em w:val="dot"/>
          <w:lang w:val="zh-CN"/>
        </w:rPr>
        <w:t>乃命重、黎绝地天通，罔有降格</w:t>
      </w:r>
      <w:r>
        <w:rPr>
          <w:rFonts w:hint="eastAsia" w:ascii="仿宋" w:hAnsi="仿宋" w:eastAsia="仿宋" w:cs="System"/>
          <w:bCs/>
          <w:kern w:val="0"/>
          <w:szCs w:val="21"/>
          <w:lang w:val="zh-CN"/>
        </w:rPr>
        <w:t>。</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又见于《尚书·吕刑》伪孔安国传：</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仿宋" w:hAnsi="仿宋" w:eastAsia="仿宋" w:cs="System"/>
          <w:bCs/>
          <w:kern w:val="0"/>
          <w:szCs w:val="21"/>
          <w:lang w:val="zh-CN"/>
        </w:rPr>
      </w:pPr>
      <w:r>
        <w:rPr>
          <w:rFonts w:hint="eastAsia" w:ascii="仿宋" w:hAnsi="仿宋" w:eastAsia="仿宋" w:cs="System"/>
          <w:bCs/>
          <w:kern w:val="0"/>
          <w:szCs w:val="21"/>
          <w:lang w:val="zh-CN"/>
        </w:rPr>
        <w:t>重即羲，黎即和。尧命</w:t>
      </w:r>
      <w:r>
        <w:rPr>
          <w:rFonts w:hint="eastAsia" w:ascii="仿宋" w:hAnsi="仿宋" w:eastAsia="仿宋" w:cs="System"/>
          <w:bCs/>
          <w:kern w:val="0"/>
          <w:szCs w:val="21"/>
          <w:em w:val="dot"/>
          <w:lang w:val="zh-CN"/>
        </w:rPr>
        <w:t>羲和世掌天地四时之官，使人神不扰，各得其序，是谓绝地天通</w:t>
      </w:r>
      <w:r>
        <w:rPr>
          <w:rFonts w:hint="eastAsia" w:ascii="仿宋" w:hAnsi="仿宋" w:eastAsia="仿宋" w:cs="System"/>
          <w:bCs/>
          <w:kern w:val="0"/>
          <w:szCs w:val="21"/>
          <w:lang w:val="zh-CN"/>
        </w:rPr>
        <w:t>。言天神无有降地，地祇不至于天，明不相干。</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此段《尚书》经、传，要义有四。</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其一，明言“绝地天通”以前，蚩尤“作乱”（神农族抵抗黄帝族征服），“苗民”（九黎三苗）不服黄帝族统治。“罔中于信，以覆诅盟”，亦即黄帝族征服王朝的王权统治受到了严重威胁。</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其二，明言“炎黄之战”以后，亦即黄帝族的颛顼击败神农族的蚩尤以后，颛顼为了巩固黄帝族的王权统治，实行“绝地天通”。</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其三，明言颛顼时代执行“绝地天通”的“重黎”，正是尧舜时代的天文历法官“羲和”。</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其四，明言“绝地天通”的内容，就是重黎、羲和等天文历法官“世掌天地四时之官，使人神不扰，各得其序”。</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《国语·楚语下》，又为“绝地天通”的真义提供了重要旁证：</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仿宋" w:hAnsi="仿宋" w:eastAsia="仿宋" w:cs="System"/>
          <w:bCs/>
          <w:kern w:val="0"/>
          <w:szCs w:val="21"/>
          <w:lang w:val="zh-CN"/>
        </w:rPr>
      </w:pPr>
      <w:r>
        <w:rPr>
          <w:rFonts w:hint="eastAsia" w:ascii="仿宋" w:hAnsi="仿宋" w:eastAsia="仿宋" w:cs="System"/>
          <w:bCs/>
          <w:kern w:val="0"/>
          <w:szCs w:val="21"/>
          <w:lang w:val="zh-CN"/>
        </w:rPr>
        <w:t>（楚）昭王问于观射父曰：“《周书》所谓重、黎实使天地不通者，何也？若无然，民将能登天乎？”</w:t>
      </w:r>
    </w:p>
    <w:p>
      <w:pPr>
        <w:autoSpaceDE w:val="0"/>
        <w:autoSpaceDN w:val="0"/>
        <w:adjustRightInd w:val="0"/>
        <w:ind w:firstLine="420" w:firstLineChars="200"/>
        <w:jc w:val="left"/>
        <w:rPr>
          <w:rFonts w:ascii="仿宋" w:hAnsi="仿宋" w:eastAsia="仿宋" w:cs="System"/>
          <w:bCs/>
          <w:kern w:val="0"/>
          <w:szCs w:val="21"/>
          <w:lang w:val="zh-CN"/>
        </w:rPr>
      </w:pPr>
      <w:r>
        <w:rPr>
          <w:rFonts w:hint="eastAsia" w:ascii="仿宋" w:hAnsi="仿宋" w:eastAsia="仿宋" w:cs="System"/>
          <w:bCs/>
          <w:kern w:val="0"/>
          <w:szCs w:val="21"/>
          <w:lang w:val="zh-CN"/>
        </w:rPr>
        <w:t>对曰：“非此之谓也。及</w:t>
      </w:r>
      <w:r>
        <w:rPr>
          <w:rFonts w:hint="eastAsia" w:ascii="仿宋" w:hAnsi="仿宋" w:eastAsia="仿宋" w:cs="System"/>
          <w:bCs/>
          <w:kern w:val="0"/>
          <w:szCs w:val="21"/>
          <w:em w:val="dot"/>
          <w:lang w:val="zh-CN"/>
        </w:rPr>
        <w:t>少皞之衰也，九黎乱德，民神杂糅，家为巫史。民渎齐盟，无有严威。颛顼受之，乃命南正重司天以属神，命火正黎司地以属民，无相侵渎，是谓绝地天通。</w:t>
      </w:r>
      <w:r>
        <w:rPr>
          <w:rFonts w:hint="eastAsia" w:ascii="仿宋" w:hAnsi="仿宋" w:eastAsia="仿宋" w:cs="System"/>
          <w:bCs/>
          <w:kern w:val="0"/>
          <w:szCs w:val="21"/>
          <w:lang w:val="zh-CN"/>
        </w:rPr>
        <w:t>”</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“绝地天通”的真义是夏商周黄帝族统治农耕三族的最高机密，所以楚昭王也不明其义，误以为“绝地天通”以前人人可以登天。</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观射父告诉楚昭王并非如此，而是黄帝族入主中原以前，神农族“民神杂糅，家为巫史”，天文历法知识和天文历法符号并非秘密。黄帝族征服神农族以后，实行“绝地天通”，仅由极少数巫史家族“世掌天地四时”，世</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袭、专掌、秘传天文历法，天文历法知识和天文历法符号遂成秘密。</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《史记·历书》虽未提及“绝地天通”四字，但是明确揭示了“绝地天通”的真义：</w:t>
      </w:r>
    </w:p>
    <w:p>
      <w:pPr>
        <w:autoSpaceDE w:val="0"/>
        <w:autoSpaceDN w:val="0"/>
        <w:adjustRightInd w:val="0"/>
        <w:ind w:firstLine="420" w:firstLineChars="200"/>
        <w:jc w:val="left"/>
        <w:rPr>
          <w:rFonts w:ascii="仿宋" w:hAnsi="仿宋" w:eastAsia="仿宋" w:cs="System"/>
          <w:bCs/>
          <w:kern w:val="0"/>
          <w:szCs w:val="21"/>
          <w:lang w:val="zh-CN"/>
        </w:rPr>
      </w:pPr>
    </w:p>
    <w:p>
      <w:pPr>
        <w:autoSpaceDE w:val="0"/>
        <w:autoSpaceDN w:val="0"/>
        <w:adjustRightInd w:val="0"/>
        <w:ind w:firstLine="420" w:firstLineChars="200"/>
        <w:jc w:val="left"/>
        <w:rPr>
          <w:rFonts w:ascii="仿宋" w:hAnsi="仿宋" w:eastAsia="仿宋" w:cs="System"/>
          <w:bCs/>
          <w:kern w:val="0"/>
          <w:szCs w:val="21"/>
          <w:lang w:val="zh-CN"/>
        </w:rPr>
      </w:pPr>
      <w:r>
        <w:rPr>
          <w:rFonts w:hint="eastAsia" w:ascii="仿宋" w:hAnsi="仿宋" w:eastAsia="仿宋" w:cs="System"/>
          <w:bCs/>
          <w:kern w:val="0"/>
          <w:szCs w:val="21"/>
          <w:lang w:val="zh-CN"/>
        </w:rPr>
        <w:t>少暤氏之衰也，九黎乱德，民神杂扰。颛顼受之，乃命南正重司天以属神，命火正黎司地以属民，无相侵渎。尧复遂重黎之后，而立羲和之官，</w:t>
      </w:r>
      <w:r>
        <w:rPr>
          <w:rFonts w:hint="eastAsia" w:ascii="仿宋" w:hAnsi="仿宋" w:eastAsia="仿宋" w:cs="System"/>
          <w:bCs/>
          <w:kern w:val="0"/>
          <w:szCs w:val="21"/>
          <w:em w:val="dot"/>
          <w:lang w:val="zh-CN"/>
        </w:rPr>
        <w:t>明时正度</w:t>
      </w:r>
      <w:r>
        <w:rPr>
          <w:rFonts w:hint="eastAsia" w:ascii="仿宋" w:hAnsi="仿宋" w:eastAsia="仿宋" w:cs="System"/>
          <w:bCs/>
          <w:kern w:val="0"/>
          <w:szCs w:val="21"/>
          <w:lang w:val="zh-CN"/>
        </w:rPr>
        <w:t>。年耆禅舜，申戒文祖云：“</w:t>
      </w:r>
      <w:r>
        <w:rPr>
          <w:rFonts w:hint="eastAsia" w:ascii="仿宋" w:hAnsi="仿宋" w:eastAsia="仿宋" w:cs="System"/>
          <w:bCs/>
          <w:kern w:val="0"/>
          <w:szCs w:val="21"/>
          <w:em w:val="dot"/>
          <w:lang w:val="zh-CN"/>
        </w:rPr>
        <w:t>天之历数在尔躬</w:t>
      </w:r>
      <w:r>
        <w:rPr>
          <w:rFonts w:hint="eastAsia" w:ascii="仿宋" w:hAnsi="仿宋" w:eastAsia="仿宋" w:cs="System"/>
          <w:bCs/>
          <w:kern w:val="0"/>
          <w:szCs w:val="21"/>
          <w:lang w:val="zh-CN"/>
        </w:rPr>
        <w:t>。”舜亦以命禹。由是观之，王者所重也[1]。</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综上所述，“绝地天通”由“炎黄之战”击败神农族首领蚩尤的黄帝族首领颛顼开创，其后历任黄帝族首领尧、舜、禹一以贯之。核心内容是巫史家族专掌天文历法知识及其符号，“以行日月星辰之行次”；具体手段是巫史家族秘藏天文历法知识及其符号，“世掌天地四时”；根本目的是避免农耕三族“罔中于信，以覆诅盟”，避免“民渎齐盟，无有严威”，以便“人神不扰，各得其序”“无相侵渎”，做到“天之历数在尔躬”。因为黄帝族独占天文历法知识及其符号，有利于神化王权，有利于巩固统治。</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或问：为何“绝地天通”秘藏天文历法知识及其符号，有利于神化黄帝族的王权，有利于巩固黄帝族的统治？</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因为夏商周黄帝族的最高统治原则，就是“民可使由之，不可使知之”。</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绝地天通”以前的上古，伏羲族的彩陶纹样和玉器族的玉器纹样均为天文历法纹样，天文历法知识及其符号，均非秘密知识。“绝地天通”以后的中古，天文历法知识及其符号，由巫史专掌、世袭、秘藏，普通民众、多数文士茫然不知。此即顾炎武《日知录》所言：“三代以上，人人皆知天文。</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360" w:firstLineChars="200"/>
        <w:jc w:val="left"/>
        <w:rPr>
          <w:rFonts w:ascii="宋体" w:hAnsi="宋体" w:cs="System"/>
          <w:bCs/>
          <w:kern w:val="0"/>
          <w:sz w:val="18"/>
          <w:szCs w:val="18"/>
          <w:lang w:val="zh-CN"/>
        </w:rPr>
      </w:pPr>
      <w:r>
        <w:rPr>
          <w:rFonts w:hint="eastAsia" w:ascii="宋体" w:hAnsi="宋体" w:cs="System"/>
          <w:bCs/>
          <w:kern w:val="0"/>
          <w:sz w:val="18"/>
          <w:szCs w:val="18"/>
          <w:lang w:val="zh-CN"/>
        </w:rPr>
        <w:t>[1]　《史记·历书》：“幽﹑厉之后，周室微，陪臣执政，史不记时，君不告朔，故畴人子弟分散。”《集解》：“如淳曰：家业世世相传为畴。律，年二十三傅之畴官，各从其父学。”《索隐》：“韦昭云：畴，类也。孟康云：同类之人明历者也。乐产云：畴，昔知星人。”</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后世文人学士，有问之而茫然者矣。”</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由于“绝地天通”的核心内容是严禁传播天文历法知识及其符号，所以夏商周黄帝族秘藏了上古伏羲族六十四卦的天文初义，对外仅仅宣传卜筮新义；又秘藏了上古伏羲族太极图的天文初义，目前仅见于少量商周文物 [1] ；也秘藏了上古玉器族的万字符及其天文初义，导致夏商周的万字符极其罕见，因而四千年来的中国人浑然不知佛教万字符东传中国以前的夏商周，竟然秘密存在作为天象符号的万字符——四季北斗合成符。</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现代考古不仅发现了夏商周秘藏的万字符，而且揭示了夏商周万字符的天文历法秘义。</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商代万字符，既见于青铜器，又见于甲骨文。</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其一，河南安阳殷墟侯家庄出土的商代青铜盂（图6-23. 1）。盂心一柱，标示北极天枢。柱上四龙，不仅是四季北斗与苍龙七宿合成的天盘卍，而且制作精妙，可以旋转演示，使之与实际天象吻合。又用尖状角和蘑菇状角，把四龙分为相对的两组，以此区别冬至、夏至和春分、秋分的苍龙七宿、北斗七星。四龙位于天盘卍所含四季北斗的斗柄，则是标示北斗斗柄指向苍龙七宿第一宿“角宿”，亦即《史记·天官书》所言“北斗七星，杓携龙角”。</w:t>
      </w:r>
    </w:p>
    <w:p>
      <w:pPr>
        <w:autoSpaceDE w:val="0"/>
        <w:autoSpaceDN w:val="0"/>
        <w:adjustRightInd w:val="0"/>
        <w:ind w:firstLine="420" w:firstLineChars="200"/>
        <w:jc w:val="left"/>
        <w:rPr>
          <w:rFonts w:ascii="仿宋" w:hAnsi="仿宋" w:eastAsia="仿宋" w:cs="System"/>
          <w:bCs/>
          <w:kern w:val="0"/>
          <w:szCs w:val="21"/>
          <w:lang w:val="zh-CN"/>
        </w:rPr>
      </w:pPr>
    </w:p>
    <w:p>
      <w:pPr>
        <w:autoSpaceDE w:val="0"/>
        <w:autoSpaceDN w:val="0"/>
        <w:adjustRightInd w:val="0"/>
        <w:ind w:firstLine="360" w:firstLineChars="200"/>
        <w:jc w:val="left"/>
        <w:rPr>
          <w:rFonts w:ascii="宋体" w:hAnsi="宋体" w:cs="System"/>
          <w:bCs/>
          <w:kern w:val="0"/>
          <w:sz w:val="18"/>
          <w:szCs w:val="18"/>
          <w:lang w:val="zh-CN"/>
        </w:rPr>
      </w:pPr>
      <w:r>
        <w:rPr>
          <w:rFonts w:hint="eastAsia" w:ascii="宋体" w:hAnsi="宋体" w:cs="System"/>
          <w:bCs/>
          <w:kern w:val="0"/>
          <w:sz w:val="18"/>
          <w:szCs w:val="18"/>
          <w:lang w:val="zh-CN"/>
        </w:rPr>
        <w:t>[1]　详见张远山：《老庄之道》第五章，岳麓书社2015；及张远山：《史上最美太极图——西周太极图的天文历法解密》，《深圳特区报》2016年5月19日。</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其二，江西新干大洋洲出土的商代青铜镈（图6-23. 2）。镈面中心是地盘卐，其外一圈箭头，标示逆时针旋转。但在镈面外周，同时标示天地的不同旋转：上至左的箭头，标示地球的逆时针旋转。右至下的箭头，标示天球的顺时针旋转。</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其三，河南安阳殷墟的甲骨文“卍舞”（《乙》8518，《合》20974）。</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殷墟甲骨十余万片，共见三个万字符，两个是不标准的变体，一个是标准的天盘卍（图6-23. 3），折线内卷的特殊风格，承袭上古黄帝族的小河沿万字符。</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甲骨文“卍舞”证明，《诗经》《左传》《墨子》《史记》等中古文献记载的华夏第一祭天乐舞“万舞”，实为万字符之舞“卍舞”。亦即按照四季北斗合成符“卍”的造型，模仿北斗循环的祭天乐舞（详见万舞章）。</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周代万字符，见于西周、春秋、战国的青铜器和陶器。</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其一，日本京都泉屋博物馆所藏西周虘钟，下方正中是两个双万合符的美术体，右下是一个地盘卐（图 6-24）。</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二，山西太原金胜村M251，是春秋晋国的赵简子墓。墓中出土的青铜高柄小方壶，盖部俯视图中心，是阴阳两条斗形龙合成的天盘卍（图25-2）。阳龙、阴龙的龙首，位于天盘卍所含北斗的斗柄，标示北斗斗柄指向苍龙七宿第一宿“角宿”，其意仍是《史记·天官书》所言“北斗七星，杓携龙角”。</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春秋赵简子墓的双龙万字符，又酷似西周伯公父壶的双凤太极图（图25-3）：前者的龙首和后者的凤首位置相同，区别只是前者的龙尾外卷，后者的凤尾内卷。证明中古夏商周的天文历法体系已把上古伏羲族的太极图与上古玉器族的万字符融为一体。</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其三，湖北江陵太晖观春秋楚国墓出土的彩陶豆，俯视图也是天盘卍（图6-26. 1）。</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其四，河北平山战国中山王墓出土的中山侯钺，铸有十个万字符（图6-26. 2），天盘卍、地盘卐各五，全都折线内卷，承袭上古黄帝族小河沿万字符和商代甲骨文万字符的特殊风格。</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钺肩六个万字符之下，是始于甘肃天水大地湾的伏羲连山纹（旧称“蕉叶纹”）。中心的圆孔，标示北极天枢和太阳。连山纹与圆孔，共同标示太阳从山脚升至山顶。</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夏商周的万字符，另有若干文字报道，未见图像资料，暂不列举[1]。</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综上所述，夏商周承袭了上古万字符，并以万字符之舞“卍舞”祭天，但是为了神化王权而“绝地天通”，严禁传播天文历法知识及其符号，亦即王蕃所言“史官禁密，学者寡得闻见”（《浑天象说》），所以夏商周三代除了极少数天文历法官，无人知晓万字符的存在，遑论其天文历法内涵。万字符遂从上古华夏的日常习见，变成了中古夏商周的极其罕见；万字符的天文历法内涵，也从上古华夏的公共知识，变成了中古夏商周的隐秘知识。</w:t>
      </w:r>
    </w:p>
    <w:p>
      <w:pPr>
        <w:autoSpaceDE w:val="0"/>
        <w:autoSpaceDN w:val="0"/>
        <w:adjustRightInd w:val="0"/>
        <w:ind w:firstLine="360" w:firstLineChars="200"/>
        <w:jc w:val="left"/>
        <w:rPr>
          <w:rFonts w:ascii="宋体" w:hAnsi="宋体" w:cs="System"/>
          <w:bCs/>
          <w:kern w:val="0"/>
          <w:sz w:val="18"/>
          <w:szCs w:val="18"/>
          <w:lang w:val="zh-CN"/>
        </w:rPr>
      </w:pPr>
    </w:p>
    <w:p>
      <w:pPr>
        <w:autoSpaceDE w:val="0"/>
        <w:autoSpaceDN w:val="0"/>
        <w:adjustRightInd w:val="0"/>
        <w:ind w:firstLine="360" w:firstLineChars="200"/>
        <w:jc w:val="left"/>
        <w:rPr>
          <w:rFonts w:ascii="仿宋" w:hAnsi="仿宋" w:eastAsia="仿宋" w:cs="System"/>
          <w:bCs/>
          <w:kern w:val="0"/>
          <w:sz w:val="18"/>
          <w:szCs w:val="18"/>
          <w:lang w:val="zh-CN"/>
        </w:rPr>
      </w:pPr>
      <w:r>
        <w:rPr>
          <w:rFonts w:hint="eastAsia" w:ascii="仿宋" w:hAnsi="仿宋" w:eastAsia="仿宋" w:cs="System"/>
          <w:bCs/>
          <w:kern w:val="0"/>
          <w:sz w:val="18"/>
          <w:szCs w:val="18"/>
          <w:lang w:val="zh-CN"/>
        </w:rPr>
        <w:t>[1]　饶宗颐：《符号·初文与字母——汉字树》（上海书店2000）101页提及，刘昭瑞发现了其他一些商周万字符，但未出图。</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bookmarkStart w:id="0" w:name="_GoBack"/>
      <w:bookmarkEnd w:id="0"/>
    </w:p>
    <w:p>
      <w:pPr>
        <w:autoSpaceDE w:val="0"/>
        <w:autoSpaceDN w:val="0"/>
        <w:adjustRightInd w:val="0"/>
        <w:jc w:val="center"/>
        <w:rPr>
          <w:rFonts w:ascii="宋体" w:hAnsi="宋体" w:cs="System"/>
          <w:b/>
          <w:bCs/>
          <w:color w:val="000000"/>
          <w:kern w:val="0"/>
          <w:sz w:val="28"/>
          <w:szCs w:val="28"/>
        </w:rPr>
      </w:pPr>
      <w:r>
        <w:rPr>
          <w:rFonts w:hint="eastAsia" w:ascii="宋体" w:hAnsi="宋体" w:cs="System"/>
          <w:b/>
          <w:bCs/>
          <w:color w:val="000000"/>
          <w:kern w:val="0"/>
          <w:sz w:val="28"/>
          <w:szCs w:val="28"/>
        </w:rPr>
        <w:t>前 言</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现存先秦文献，不仅严重缺损，而且面目全非，造成这一局面的主要原因有四。一是春秋战国百家之学兴起，对于传世文献各有弃取。二是战国末年秦灭六国，尽焚各国史书和相关图籍。三是秦始皇“焚书坑儒”，焚毁百家之书和先秦图籍。四是汉武帝“罢黜百家，独尊儒术”，废黜百家之书和先秦图籍。四次灭顶之灾，导致夏代《连山》、商代《归藏》等夏商图籍，东周列国的各国史书，《邹子》《惠子》等百家之书，刘歆《七略》和《汉书·艺文志》著录的大量先秦图籍，全部亡佚。</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残存先秦文献又多非全璧，比如《诗经》原有三千篇，今存三百篇； 《尚书》原有数百篇，今存数十篇；《庄子》原有五十二篇，今存三十三篇； 《公孙龙子》原有十二篇，今存五篇。残存先秦文献又多非原貌，不仅道家经典《老子》《庄子》均非原貌，而且儒家经典也非原貌，因为每一朝代都会根据时代需要加工改造。</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由于先秦文献严重缺损而百不存一，因此先秦研究可谓巧妇难为无米之炊。根据残存先秦文献研究先秦文化，顶多只能窥见先秦知识总图的极小部分。对于另外的极大部分，研究者或是不知其存在，或是妄加臆测，大多属于盲人摸象的梦呓，毫无准星的胡诌。</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由于残存先秦文献既非全璧又非原貌，因此陈寅恪知难而退地放弃了先秦研究。王国维知难而上地另辟蹊径，以考古出土的先秦文物补充残存先秦文献之不足，一举成为中国现代学术的开山鼻祖。但是王国维凭借商代甲骨文、商周金文、商周简帛等夏商周考古材料，顶多只能窥见残存先秦文献以外的一小部分，复原夏商周知识总图依然渺茫。所以在王国维取得重大突破之后，一百年来的先秦研究仍然无法彻底摆脱困境，只能凭借夏商周的新出考古材料补充若干要地，无法复原夏商周的知识总图。</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夏商周的知识总图，无法根据夏商周的考古材料直接复原，只能借助秦汉以后的考古材料和夏代以前的考古材料间接补充。但是前者属于逆流而上，颠倒了文化源流和历史因果，所以此路不通；后者属于顺流而下，符合文化源流和历史因果，才是唯一通途。</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伏羲学的宗旨，就是根据夏代以前的考古材料，首先复原上古四千年的华夏知识总图，进而结合残存先秦文献，填补夏商周知识总图的知识空白，解密夏商周知识总图的历史疑案，再与秦汉以后的中华知识总图全面对接，最终贯通八千年华夏文化史和四千年中华文明史。</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由于上古华夏共有四大族群，而华夏西部内陆的伏羲族是唯一的彩陶族，华夏东部沿海的黄帝族、东夷族、南蛮族是玉器三族，所以我撰写了《伏羲之道》《玉器之道》二书。</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伏羲之道》探索了夏代以前四千年上古伏羲族的彩陶之道，解密了上古至中古的一系列中国之谜。主要是“伏羲六十四卦”之谜、“伏羲太极图”之谜，以及“伏羲连山历”之谜、“神农归藏历”之谜、“浑天说”之谜、“宣夜说”之谜、“太极说”之谜、“无极说”之谜，兼及夏代《连山》六十四卦之谜、商代《归藏》六十四卦之谜、周代《周易》六十四卦之谜。</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玉器之道》探索了夏代以前四千年上古玉器三族的玉器之道，解密了上古至中古的一系列中国之谜。主要是观天玉器之谜、祭天玉器之谜、威仪玉器之谜、装饰玉器之谜，以及“万字符”之谜、“万舞”之谜、“昆仑台”之谜，兼及夏代“巡狩五玉”之谜、商代“方明六玉”之谜、西周“祭天六玉”之谜、“绝地天通”之谜、“明堂月令”之谜、“天人合一”之谜、“盖天说”之谜、《山海经》之谜。</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玉器之道》对《伏羲之道》建立的伏羲学框架，进行了全方位的补充、扩展、深化、验证，首先证明了伏羲学框架的逻辑自洽，进而通过上古考古证据与残存先秦文献的全面印证，厘清了上古华夏文化与中古夏商周文明的源流关系和因果关系。二书描述的上古四千年华夏知识总图，既是中古两千年夏商周知识总图的最初基因，也是秦汉以后两千年中华知识总图的终极源头，华夏八千年史的主要脉络至此贯通。</w:t>
      </w:r>
    </w:p>
    <w:p>
      <w:pPr>
        <w:autoSpaceDE w:val="0"/>
        <w:autoSpaceDN w:val="0"/>
        <w:adjustRightInd w:val="0"/>
        <w:ind w:firstLine="420" w:firstLineChars="200"/>
        <w:jc w:val="right"/>
        <w:rPr>
          <w:rFonts w:ascii="宋体" w:hAnsi="宋体" w:cs="System"/>
          <w:bCs/>
          <w:kern w:val="0"/>
          <w:szCs w:val="21"/>
          <w:lang w:val="zh-CN"/>
        </w:rPr>
      </w:pPr>
      <w:r>
        <w:rPr>
          <w:rFonts w:hint="eastAsia" w:ascii="宋体" w:hAnsi="宋体" w:cs="System"/>
          <w:bCs/>
          <w:kern w:val="0"/>
          <w:szCs w:val="21"/>
          <w:lang w:val="zh-CN"/>
        </w:rPr>
        <w:t>2017年2月25日</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jc w:val="center"/>
        <w:rPr>
          <w:rFonts w:ascii="宋体" w:hAnsi="宋体" w:cs="System"/>
          <w:b/>
          <w:bCs/>
          <w:color w:val="000000"/>
          <w:kern w:val="0"/>
          <w:sz w:val="28"/>
          <w:szCs w:val="28"/>
        </w:rPr>
      </w:pPr>
      <w:r>
        <w:rPr>
          <w:rFonts w:hint="eastAsia" w:ascii="宋体" w:hAnsi="宋体" w:cs="System"/>
          <w:b/>
          <w:bCs/>
          <w:color w:val="000000"/>
          <w:kern w:val="0"/>
          <w:sz w:val="28"/>
          <w:szCs w:val="28"/>
        </w:rPr>
        <w:t>后 记</w:t>
      </w:r>
    </w:p>
    <w:p>
      <w:pPr>
        <w:autoSpaceDE w:val="0"/>
        <w:autoSpaceDN w:val="0"/>
        <w:adjustRightInd w:val="0"/>
        <w:ind w:firstLine="420" w:firstLineChars="200"/>
        <w:jc w:val="left"/>
        <w:rPr>
          <w:rFonts w:ascii="宋体" w:hAnsi="宋体" w:cs="System"/>
          <w:bCs/>
          <w:kern w:val="0"/>
          <w:szCs w:val="21"/>
          <w:lang w:val="zh-CN"/>
        </w:rPr>
      </w:pP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2015年8月，岳麓书社出版了我的两本新书。《老庄之道》是我第二个写作十年“庄子工程”的收官之作，《伏羲之道》是我第三个写作十年“道术工程”的第一本书。责任编辑杨云辉先生专程从长沙飞到上海主持首发式，尽管大雨倾盆，来自全国各地的读者仍然热情不减，预备的一百多套新书抢购一空。</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伏羲之道》是伏羲学的开山之作，而伏羲学是我先秦研究的分水岭。此前我主要研究先秦道术，宗旨是复原战国秦汉“道术灭裂”以前的中古两千年“天地之纯，古人之大体”（《庄子·天下》）。伏羲学则是研究先秦道术的上古源头，宗旨是复原夏代以前的上古四千年“天地之纯，古人之大体”。</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伏羲学是我意外发现的上古宝藏，我完全没想到研究先秦的一切积累都是在为伏羲学做知识准备，而华夏祖先的卓绝智慧又远远超出了任何知识准备。所以我的伏羲学研究，与其说是研究，不如说是学习，与其说是学习，不如说是从零开始求道。于是华夏文化的开天辟地者，引领我穿越历史风沙，回到上古现场，窥见了中华道术的“天地之纯，古人之大体”。</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我在知识准备严重不足的情况下对华夏文化起源史的初步探索，却得到了始料未及的意外鼓励。</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伏羲之道》被《南方都市报》评选为2015年“社科十大好书”第一名，认为“对中华文明的起源、中华上古价值体系做出了重新论断。张远山的研究科学性强，如剥蕉见心，让读者穿过历史的迷雾，探求真相。读者不得不对其丰富的论据，严密的论证，惊世骇俗却又不可动摇的结论望洋兴叹”（徐晋如）。</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著名作家兼学者李劼先生撰写了长篇书评《全息思维的文化源起》，认为“《伏羲之道》之于上古文化和上古历史研究的开拓性，可谓前无古人。使上古史研究获得了具有划时代意义的突破，可谓继王国维古史研究之后的又一个里程碑式重大突破。如此重大的突破，假设王国维有知，恐怕就没功夫去昆明湖自杀了”。</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北京中医药大学校长徐安龙先生认为，《伏羲之道》建立的伏羲学框架不仅对探索中国文化的起源具有重要意义，而且对研究中医起源也有启发作用和借鉴意义。</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《伏羲之道》出版以后，我着手准备撰写《玉器之道》，系统考察了上古玉器三族的大量遗址。</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我首先前往山东泰安市，登临了泰山绝顶，考察了大汶口文化遗址，受到了大汶口博物馆馆长卢继超先生的热情接待。又顺道路过北京，与《伏羲之道》的读者朋友一起参观了中国国家博物馆的陶器馆、玉器馆、青铜馆。随后前往内蒙古赤峰市敖汉旗，考察了兴隆洼文化、赵宝沟文化、红山文化、小河沿文化、夏家店下层文化的多处遗址，受到了新州博物馆馆长杨晓明先生的热情接待。敖汉旗博物馆前馆长、红山文化专家邵国田先生不仅亲自担任导游，而且热心赠送了红山文化的很多研究资料。</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我又分别考察、参观了安徽含山凌家滩遗址及其博物馆，浙江余姚河姆渡遗址及其博物馆，浙江余杭良渚遗址及其博物馆，上海青浦崧泽遗址及其博物馆，参观了江苏省博物馆、南京博物院、浙江省博物馆、上海博物馆、震旦博物馆等等。实地考察得到了书本上难以觅得的第一手资料，获得了书斋中难以想象的丰富感受，对于《玉器之道》的写作帮助极大。</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经由李劼先生介绍，我结识了纽约的玉器收藏家顾为群。经由薄小波先生和汤光明先生介绍，我结识了上海的陶器收藏家冯学锋。顾、冯两位先生慷慨提供了他们多年收藏的上古玉器、上古陶器以及其他藏品的实物、图片，允许我在书中自由选用。</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还有很多不愿具名的朋友，或者赞助考察经费，或者馈赠参考书籍，或者寻找资料图片，或者校阅探讨文稿，或者连载转载书稿，或者安排公益讲座，对我的考察、研究、写作，以及伏羲学的传播推广，提供了各种形式的支持，在此一并致谢！</w:t>
      </w:r>
    </w:p>
    <w:p>
      <w:pPr>
        <w:autoSpaceDE w:val="0"/>
        <w:autoSpaceDN w:val="0"/>
        <w:adjustRightInd w:val="0"/>
        <w:ind w:firstLine="420" w:firstLineChars="200"/>
        <w:jc w:val="left"/>
        <w:rPr>
          <w:rFonts w:ascii="宋体" w:hAnsi="宋体" w:cs="System"/>
          <w:bCs/>
          <w:kern w:val="0"/>
          <w:szCs w:val="21"/>
          <w:lang w:val="zh-CN"/>
        </w:rPr>
      </w:pPr>
      <w:r>
        <w:rPr>
          <w:rFonts w:hint="eastAsia" w:ascii="宋体" w:hAnsi="宋体" w:cs="System"/>
          <w:bCs/>
          <w:kern w:val="0"/>
          <w:szCs w:val="21"/>
          <w:lang w:val="zh-CN"/>
        </w:rPr>
        <w:t>伏羲学目前处于开荒拓地的起步阶段，我牙牙学语的有限成绩，只能起到抛砖引玉的作用，期待有识者批评，更期待有志者加入。伏羲学的未来发展，需要各门学科的大量优秀学者和无数新生力量加入研究行列，通力合作，共同探索，辨疑驳难，继长增高，不断廓清“东方神秘主义”的重重迷雾，逐渐揭开“中国之谜”的神秘面纱，最终找到中华文明的知识总根，贯通华夏文化的八千年史，完成炎黄子孙的认祖归宗，实现中华民族的伟大复兴。</w:t>
      </w:r>
    </w:p>
    <w:p>
      <w:pPr>
        <w:autoSpaceDE w:val="0"/>
        <w:autoSpaceDN w:val="0"/>
        <w:adjustRightInd w:val="0"/>
        <w:ind w:firstLine="420" w:firstLineChars="200"/>
        <w:jc w:val="right"/>
        <w:rPr>
          <w:rFonts w:ascii="宋体" w:hAnsi="宋体" w:cs="System"/>
          <w:bCs/>
          <w:kern w:val="0"/>
          <w:szCs w:val="21"/>
          <w:lang w:val="zh-CN"/>
        </w:rPr>
      </w:pPr>
      <w:r>
        <w:rPr>
          <w:rFonts w:hint="eastAsia" w:ascii="宋体" w:hAnsi="宋体" w:cs="System"/>
          <w:bCs/>
          <w:kern w:val="0"/>
          <w:szCs w:val="21"/>
          <w:lang w:val="zh-CN"/>
        </w:rPr>
        <w:t>2017年3月6日</w:t>
      </w:r>
    </w:p>
    <w:p>
      <w:pPr>
        <w:autoSpaceDE w:val="0"/>
        <w:autoSpaceDN w:val="0"/>
        <w:adjustRightInd w:val="0"/>
        <w:ind w:firstLine="420" w:firstLineChars="200"/>
        <w:jc w:val="left"/>
        <w:rPr>
          <w:rFonts w:ascii="宋体" w:hAnsi="宋体" w:cs="System"/>
          <w:bCs/>
          <w:kern w:val="0"/>
          <w:szCs w:val="21"/>
          <w:lang w:val="zh-CN"/>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FZLanTingHei-M-GBK">
    <w:altName w:val="微软雅黑"/>
    <w:panose1 w:val="00000000000000000000"/>
    <w:charset w:val="86"/>
    <w:family w:val="swiss"/>
    <w:pitch w:val="default"/>
    <w:sig w:usb0="00000000" w:usb1="00000000" w:usb2="00000010" w:usb3="00000000" w:csb0="00040000" w:csb1="00000000"/>
  </w:font>
  <w:font w:name="Kenten">
    <w:altName w:val="微软雅黑"/>
    <w:panose1 w:val="00000000000000000000"/>
    <w:charset w:val="86"/>
    <w:family w:val="swiss"/>
    <w:pitch w:val="default"/>
    <w:sig w:usb0="00000000" w:usb1="00000000" w:usb2="00000010" w:usb3="00000000" w:csb0="00040000" w:csb1="00000000"/>
  </w:font>
  <w:font w:name="FZXiDengXian-Z06">
    <w:altName w:val="宋体"/>
    <w:panose1 w:val="00000000000000000000"/>
    <w:charset w:val="86"/>
    <w:family w:val="roman"/>
    <w:pitch w:val="default"/>
    <w:sig w:usb0="00000000" w:usb1="00000000" w:usb2="00000010" w:usb3="00000000" w:csb0="00040000" w:csb1="00000000"/>
  </w:font>
  <w:font w:name="FZKai-Z03">
    <w:altName w:val="宋体"/>
    <w:panose1 w:val="00000000000000000000"/>
    <w:charset w:val="86"/>
    <w:family w:val="roman"/>
    <w:pitch w:val="default"/>
    <w:sig w:usb0="00000000" w:usb1="00000000" w:usb2="00000010" w:usb3="00000000" w:csb0="00040000" w:csb1="00000000"/>
  </w:font>
  <w:font w:name="方正兰亭黑_GBK">
    <w:altName w:val="Arial Unicode MS"/>
    <w:panose1 w:val="00000000000000000000"/>
    <w:charset w:val="86"/>
    <w:family w:val="auto"/>
    <w:pitch w:val="default"/>
    <w:sig w:usb0="00000000" w:usb1="00000000" w:usb2="00000010" w:usb3="00000000" w:csb0="00040000" w:csb1="00000000"/>
  </w:font>
  <w:font w:name="System">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9A4"/>
    <w:rsid w:val="00030627"/>
    <w:rsid w:val="00044FA3"/>
    <w:rsid w:val="00046049"/>
    <w:rsid w:val="00064EAB"/>
    <w:rsid w:val="000653D8"/>
    <w:rsid w:val="00070665"/>
    <w:rsid w:val="0007744A"/>
    <w:rsid w:val="0008028D"/>
    <w:rsid w:val="00082BD0"/>
    <w:rsid w:val="000938A2"/>
    <w:rsid w:val="0009500D"/>
    <w:rsid w:val="00143D1E"/>
    <w:rsid w:val="00146DCF"/>
    <w:rsid w:val="001653FE"/>
    <w:rsid w:val="001D5DCE"/>
    <w:rsid w:val="001E3215"/>
    <w:rsid w:val="00235E5D"/>
    <w:rsid w:val="00265AA6"/>
    <w:rsid w:val="00292AEB"/>
    <w:rsid w:val="00294FB1"/>
    <w:rsid w:val="00295D5D"/>
    <w:rsid w:val="002C7B6A"/>
    <w:rsid w:val="002E1E3A"/>
    <w:rsid w:val="003128A4"/>
    <w:rsid w:val="003510BE"/>
    <w:rsid w:val="00381A73"/>
    <w:rsid w:val="00393006"/>
    <w:rsid w:val="003B0062"/>
    <w:rsid w:val="00400763"/>
    <w:rsid w:val="00412B7A"/>
    <w:rsid w:val="004F1FAF"/>
    <w:rsid w:val="00535AE6"/>
    <w:rsid w:val="0056489F"/>
    <w:rsid w:val="00566B07"/>
    <w:rsid w:val="00570B56"/>
    <w:rsid w:val="00575914"/>
    <w:rsid w:val="0059588F"/>
    <w:rsid w:val="005A72BB"/>
    <w:rsid w:val="005F5FE7"/>
    <w:rsid w:val="005F7947"/>
    <w:rsid w:val="006101F6"/>
    <w:rsid w:val="006427FD"/>
    <w:rsid w:val="00677516"/>
    <w:rsid w:val="006A69A4"/>
    <w:rsid w:val="006C7139"/>
    <w:rsid w:val="00713D38"/>
    <w:rsid w:val="00722D1E"/>
    <w:rsid w:val="00736980"/>
    <w:rsid w:val="00790A73"/>
    <w:rsid w:val="00797E3C"/>
    <w:rsid w:val="007A3B05"/>
    <w:rsid w:val="00805239"/>
    <w:rsid w:val="00815AAD"/>
    <w:rsid w:val="00821476"/>
    <w:rsid w:val="0083710A"/>
    <w:rsid w:val="008513EA"/>
    <w:rsid w:val="00860839"/>
    <w:rsid w:val="008938B0"/>
    <w:rsid w:val="008A609A"/>
    <w:rsid w:val="008D4000"/>
    <w:rsid w:val="008E2A80"/>
    <w:rsid w:val="008F00C6"/>
    <w:rsid w:val="00917815"/>
    <w:rsid w:val="00924F43"/>
    <w:rsid w:val="009848C7"/>
    <w:rsid w:val="009B410D"/>
    <w:rsid w:val="009C10D4"/>
    <w:rsid w:val="009C43D1"/>
    <w:rsid w:val="009D3D3B"/>
    <w:rsid w:val="00A03A82"/>
    <w:rsid w:val="00A04EDF"/>
    <w:rsid w:val="00A36CE2"/>
    <w:rsid w:val="00A457F4"/>
    <w:rsid w:val="00A5434E"/>
    <w:rsid w:val="00A66D2E"/>
    <w:rsid w:val="00A730EF"/>
    <w:rsid w:val="00AB4BF0"/>
    <w:rsid w:val="00B3283D"/>
    <w:rsid w:val="00B62E57"/>
    <w:rsid w:val="00B66ADD"/>
    <w:rsid w:val="00B870F1"/>
    <w:rsid w:val="00BA1CB4"/>
    <w:rsid w:val="00BB6FBB"/>
    <w:rsid w:val="00BF0F03"/>
    <w:rsid w:val="00BF140F"/>
    <w:rsid w:val="00BF2949"/>
    <w:rsid w:val="00C15676"/>
    <w:rsid w:val="00C31878"/>
    <w:rsid w:val="00C32324"/>
    <w:rsid w:val="00C36B09"/>
    <w:rsid w:val="00C67DD0"/>
    <w:rsid w:val="00C74112"/>
    <w:rsid w:val="00CC319F"/>
    <w:rsid w:val="00CD0110"/>
    <w:rsid w:val="00CF37B8"/>
    <w:rsid w:val="00CF3F85"/>
    <w:rsid w:val="00CF5508"/>
    <w:rsid w:val="00D20AE5"/>
    <w:rsid w:val="00DB4D2A"/>
    <w:rsid w:val="00DC6EAA"/>
    <w:rsid w:val="00DD40E8"/>
    <w:rsid w:val="00DD5041"/>
    <w:rsid w:val="00EA04AB"/>
    <w:rsid w:val="00EE0A8A"/>
    <w:rsid w:val="00F10F7A"/>
    <w:rsid w:val="00F72513"/>
    <w:rsid w:val="00FD0CA0"/>
    <w:rsid w:val="00FE4AE9"/>
    <w:rsid w:val="0CA707E7"/>
    <w:rsid w:val="159E12DD"/>
    <w:rsid w:val="189439DF"/>
    <w:rsid w:val="1B9A0539"/>
    <w:rsid w:val="2969516B"/>
    <w:rsid w:val="4CD12D6B"/>
    <w:rsid w:val="54195B5D"/>
    <w:rsid w:val="5ED82815"/>
    <w:rsid w:val="65D76BA2"/>
    <w:rsid w:val="69350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semiHidden="0" w:name="HTML Acronym"/>
    <w:lsdException w:uiPriority="0" w:name="HTML Address"/>
    <w:lsdException w:qFormat="1" w:uiPriority="0" w:semiHidden="0" w:name="HTML Cite"/>
    <w:lsdException w:qFormat="1" w:uiPriority="0" w:semiHidden="0" w:name="HTML Code"/>
    <w:lsdException w:uiPriority="0" w:semiHidden="0" w:name="HTML Definition"/>
    <w:lsdException w:uiPriority="0" w:name="HTML Keyboard"/>
    <w:lsdException w:uiPriority="0" w:name="HTML Preformatted"/>
    <w:lsdException w:uiPriority="0" w:name="HTML Sample"/>
    <w:lsdException w:uiPriority="0" w:name="HTML Typewriter"/>
    <w:lsdException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jc w:val="left"/>
      <w:outlineLvl w:val="0"/>
    </w:pPr>
    <w:rPr>
      <w:rFonts w:hint="eastAsia" w:ascii="宋体" w:hAnsi="宋体" w:cs="宋体"/>
      <w:b/>
      <w:kern w:val="44"/>
      <w:sz w:val="48"/>
      <w:szCs w:val="48"/>
    </w:rPr>
  </w:style>
  <w:style w:type="character" w:default="1" w:styleId="6">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20"/>
    <w:unhideWhenUsed/>
    <w:uiPriority w:val="99"/>
    <w:rPr>
      <w:sz w:val="18"/>
      <w:szCs w:val="18"/>
    </w:rPr>
  </w:style>
  <w:style w:type="paragraph" w:styleId="4">
    <w:name w:val="footer"/>
    <w:basedOn w:val="1"/>
    <w:link w:val="19"/>
    <w:unhideWhenUsed/>
    <w:uiPriority w:val="99"/>
    <w:pPr>
      <w:tabs>
        <w:tab w:val="center" w:pos="4153"/>
        <w:tab w:val="right" w:pos="8306"/>
      </w:tabs>
      <w:snapToGrid w:val="0"/>
      <w:jc w:val="left"/>
    </w:pPr>
    <w:rPr>
      <w:sz w:val="18"/>
      <w:szCs w:val="18"/>
    </w:rPr>
  </w:style>
  <w:style w:type="paragraph" w:styleId="5">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style>
  <w:style w:type="character" w:styleId="8">
    <w:name w:val="page number"/>
    <w:basedOn w:val="6"/>
    <w:unhideWhenUsed/>
    <w:uiPriority w:val="0"/>
  </w:style>
  <w:style w:type="character" w:styleId="9">
    <w:name w:val="FollowedHyperlink"/>
    <w:basedOn w:val="6"/>
    <w:unhideWhenUsed/>
    <w:uiPriority w:val="0"/>
    <w:rPr>
      <w:color w:val="3377AA"/>
      <w:u w:val="none"/>
    </w:rPr>
  </w:style>
  <w:style w:type="character" w:styleId="10">
    <w:name w:val="Emphasis"/>
    <w:basedOn w:val="6"/>
    <w:qFormat/>
    <w:uiPriority w:val="20"/>
  </w:style>
  <w:style w:type="character" w:styleId="11">
    <w:name w:val="HTML Definition"/>
    <w:basedOn w:val="6"/>
    <w:unhideWhenUsed/>
    <w:uiPriority w:val="0"/>
  </w:style>
  <w:style w:type="character" w:styleId="12">
    <w:name w:val="HTML Acronym"/>
    <w:basedOn w:val="6"/>
    <w:unhideWhenUsed/>
    <w:uiPriority w:val="0"/>
  </w:style>
  <w:style w:type="character" w:styleId="13">
    <w:name w:val="HTML Variable"/>
    <w:basedOn w:val="6"/>
    <w:unhideWhenUsed/>
    <w:uiPriority w:val="0"/>
  </w:style>
  <w:style w:type="character" w:styleId="14">
    <w:name w:val="Hyperlink"/>
    <w:basedOn w:val="6"/>
    <w:unhideWhenUsed/>
    <w:uiPriority w:val="0"/>
    <w:rPr>
      <w:color w:val="3377AA"/>
      <w:u w:val="none"/>
    </w:rPr>
  </w:style>
  <w:style w:type="character" w:styleId="15">
    <w:name w:val="HTML Code"/>
    <w:basedOn w:val="6"/>
    <w:unhideWhenUsed/>
    <w:qFormat/>
    <w:uiPriority w:val="0"/>
    <w:rPr>
      <w:rFonts w:ascii="Courier New" w:hAnsi="Courier New"/>
      <w:sz w:val="20"/>
    </w:rPr>
  </w:style>
  <w:style w:type="character" w:styleId="16">
    <w:name w:val="HTML Cite"/>
    <w:basedOn w:val="6"/>
    <w:unhideWhenUsed/>
    <w:qFormat/>
    <w:uiPriority w:val="0"/>
  </w:style>
  <w:style w:type="character" w:customStyle="1" w:styleId="18">
    <w:name w:val="页眉 字符"/>
    <w:basedOn w:val="6"/>
    <w:link w:val="5"/>
    <w:semiHidden/>
    <w:qFormat/>
    <w:uiPriority w:val="99"/>
    <w:rPr>
      <w:sz w:val="18"/>
      <w:szCs w:val="18"/>
    </w:rPr>
  </w:style>
  <w:style w:type="character" w:customStyle="1" w:styleId="19">
    <w:name w:val="页脚 字符"/>
    <w:basedOn w:val="6"/>
    <w:link w:val="4"/>
    <w:semiHidden/>
    <w:qFormat/>
    <w:uiPriority w:val="99"/>
    <w:rPr>
      <w:sz w:val="18"/>
      <w:szCs w:val="18"/>
    </w:rPr>
  </w:style>
  <w:style w:type="character" w:customStyle="1" w:styleId="20">
    <w:name w:val="批注框文本 字符"/>
    <w:basedOn w:val="6"/>
    <w:link w:val="3"/>
    <w:semiHidden/>
    <w:qFormat/>
    <w:uiPriority w:val="99"/>
    <w:rPr>
      <w:sz w:val="18"/>
      <w:szCs w:val="18"/>
    </w:rPr>
  </w:style>
  <w:style w:type="character" w:customStyle="1" w:styleId="21">
    <w:name w:val="pl"/>
    <w:basedOn w:val="6"/>
    <w:qFormat/>
    <w:uiPriority w:val="0"/>
  </w:style>
  <w:style w:type="character" w:customStyle="1" w:styleId="22">
    <w:name w:val="pl1"/>
    <w:basedOn w:val="6"/>
    <w:qFormat/>
    <w:uiPriority w:val="0"/>
  </w:style>
  <w:style w:type="character" w:customStyle="1" w:styleId="23">
    <w:name w:val="submit"/>
    <w:basedOn w:val="6"/>
    <w:qFormat/>
    <w:uiPriority w:val="0"/>
  </w:style>
  <w:style w:type="character" w:customStyle="1" w:styleId="24">
    <w:name w:val="up2"/>
    <w:basedOn w:val="6"/>
    <w:qFormat/>
    <w:uiPriority w:val="0"/>
  </w:style>
  <w:style w:type="character" w:customStyle="1" w:styleId="25">
    <w:name w:val="reason"/>
    <w:basedOn w:val="6"/>
    <w:qFormat/>
    <w:uiPriority w:val="0"/>
    <w:rPr>
      <w:color w:val="999999"/>
    </w:rPr>
  </w:style>
  <w:style w:type="character" w:customStyle="1" w:styleId="26">
    <w:name w:val="now1"/>
    <w:basedOn w:val="6"/>
    <w:qFormat/>
    <w:uiPriority w:val="0"/>
    <w:rPr>
      <w:shd w:val="clear" w:color="auto" w:fill="9B9A8F"/>
    </w:rPr>
  </w:style>
  <w:style w:type="character" w:customStyle="1" w:styleId="27">
    <w:name w:val="now2"/>
    <w:basedOn w:val="6"/>
    <w:qFormat/>
    <w:uiPriority w:val="0"/>
  </w:style>
  <w:style w:type="character" w:customStyle="1" w:styleId="28">
    <w:name w:val="inq"/>
    <w:basedOn w:val="6"/>
    <w:qFormat/>
    <w:uiPriority w:val="0"/>
    <w:rPr>
      <w:color w:val="333333"/>
    </w:rPr>
  </w:style>
  <w:style w:type="character" w:customStyle="1" w:styleId="29">
    <w:name w:val="inq1"/>
    <w:basedOn w:val="6"/>
    <w:qFormat/>
    <w:uiPriority w:val="0"/>
  </w:style>
  <w:style w:type="character" w:customStyle="1" w:styleId="30">
    <w:name w:val="info10"/>
    <w:basedOn w:val="6"/>
    <w:qFormat/>
    <w:uiPriority w:val="0"/>
    <w:rPr>
      <w:color w:val="666666"/>
    </w:rPr>
  </w:style>
  <w:style w:type="character" w:customStyle="1" w:styleId="31">
    <w:name w:val="offlines"/>
    <w:basedOn w:val="6"/>
    <w:qFormat/>
    <w:uiPriority w:val="0"/>
    <w:rPr>
      <w:color w:val="664422"/>
    </w:rPr>
  </w:style>
  <w:style w:type="character" w:customStyle="1" w:styleId="32">
    <w:name w:val="offlines1"/>
    <w:basedOn w:val="6"/>
    <w:qFormat/>
    <w:uiPriority w:val="0"/>
  </w:style>
  <w:style w:type="character" w:customStyle="1" w:styleId="33">
    <w:name w:val="offlines2"/>
    <w:basedOn w:val="6"/>
    <w:qFormat/>
    <w:uiPriority w:val="0"/>
    <w:rPr>
      <w:color w:val="664422"/>
    </w:rPr>
  </w:style>
  <w:style w:type="character" w:customStyle="1" w:styleId="34">
    <w:name w:val="offlines3"/>
    <w:basedOn w:val="6"/>
    <w:qFormat/>
    <w:uiPriority w:val="0"/>
    <w:rPr>
      <w:color w:val="664422"/>
    </w:rPr>
  </w:style>
  <w:style w:type="character" w:customStyle="1" w:styleId="35">
    <w:name w:val="offlines4"/>
    <w:basedOn w:val="6"/>
    <w:qFormat/>
    <w:uiPriority w:val="0"/>
  </w:style>
  <w:style w:type="character" w:customStyle="1" w:styleId="36">
    <w:name w:val="g_cf"/>
    <w:basedOn w:val="6"/>
    <w:qFormat/>
    <w:uiPriority w:val="0"/>
  </w:style>
  <w:style w:type="character" w:customStyle="1" w:styleId="37">
    <w:name w:val="g_th"/>
    <w:basedOn w:val="6"/>
    <w:qFormat/>
    <w:uiPriority w:val="0"/>
  </w:style>
  <w:style w:type="character" w:customStyle="1" w:styleId="38">
    <w:name w:val="g_th1"/>
    <w:basedOn w:val="6"/>
    <w:qFormat/>
    <w:uiPriority w:val="0"/>
  </w:style>
  <w:style w:type="character" w:customStyle="1" w:styleId="39">
    <w:name w:val="g_fh"/>
    <w:basedOn w:val="6"/>
    <w:qFormat/>
    <w:uiPriority w:val="0"/>
  </w:style>
  <w:style w:type="character" w:customStyle="1" w:styleId="40">
    <w:name w:val="shop_collect_btn"/>
    <w:basedOn w:val="6"/>
    <w:qFormat/>
    <w:uiPriority w:val="0"/>
  </w:style>
  <w:style w:type="character" w:customStyle="1" w:styleId="41">
    <w:name w:val="g_hh"/>
    <w:basedOn w:val="6"/>
    <w:qFormat/>
    <w:uiPriority w:val="0"/>
  </w:style>
  <w:style w:type="character" w:customStyle="1" w:styleId="42">
    <w:name w:val="red20"/>
    <w:basedOn w:val="6"/>
    <w:qFormat/>
    <w:uiPriority w:val="0"/>
    <w:rPr>
      <w:color w:val="CC3300"/>
    </w:rPr>
  </w:style>
  <w:style w:type="character" w:customStyle="1" w:styleId="43">
    <w:name w:val="shop_score_box_p"/>
    <w:basedOn w:val="6"/>
    <w:qFormat/>
    <w:uiPriority w:val="0"/>
    <w:rPr>
      <w:color w:val="FFFFFF"/>
      <w:sz w:val="21"/>
      <w:szCs w:val="21"/>
    </w:rPr>
  </w:style>
  <w:style w:type="character" w:customStyle="1" w:styleId="44">
    <w:name w:val="shop_score_box_p1"/>
    <w:basedOn w:val="6"/>
    <w:qFormat/>
    <w:uiPriority w:val="0"/>
    <w:rPr>
      <w:color w:val="FFFFFF"/>
    </w:rPr>
  </w:style>
  <w:style w:type="character" w:customStyle="1" w:styleId="45">
    <w:name w:val="gray17"/>
    <w:basedOn w:val="6"/>
    <w:qFormat/>
    <w:uiPriority w:val="0"/>
    <w:rPr>
      <w:color w:val="404040"/>
      <w:bdr w:val="single" w:color="B4B4B4" w:sz="6" w:space="0"/>
      <w:shd w:val="clear" w:color="auto" w:fill="EAEAEA"/>
    </w:rPr>
  </w:style>
  <w:style w:type="character" w:customStyle="1" w:styleId="46">
    <w:name w:val="g_fz"/>
    <w:basedOn w:val="6"/>
    <w:qFormat/>
    <w:uiPriority w:val="0"/>
  </w:style>
  <w:style w:type="character" w:customStyle="1" w:styleId="47">
    <w:name w:val="g_tj"/>
    <w:basedOn w:val="6"/>
    <w:qFormat/>
    <w:uiPriority w:val="0"/>
  </w:style>
  <w:style w:type="character" w:customStyle="1" w:styleId="48">
    <w:name w:val="dot"/>
    <w:basedOn w:val="6"/>
    <w:qFormat/>
    <w:uiPriority w:val="0"/>
    <w:rPr>
      <w:rFonts w:ascii="Arial" w:hAnsi="Arial" w:cs="Arial"/>
      <w:b/>
      <w:color w:val="A1A1A1"/>
      <w:spacing w:val="0"/>
      <w:sz w:val="19"/>
      <w:szCs w:val="19"/>
    </w:rPr>
  </w:style>
  <w:style w:type="character" w:customStyle="1" w:styleId="49">
    <w:name w:val="onlines"/>
    <w:basedOn w:val="6"/>
    <w:qFormat/>
    <w:uiPriority w:val="0"/>
    <w:rPr>
      <w:color w:val="664422"/>
    </w:rPr>
  </w:style>
  <w:style w:type="character" w:customStyle="1" w:styleId="50">
    <w:name w:val="onlines1"/>
    <w:basedOn w:val="6"/>
    <w:qFormat/>
    <w:uiPriority w:val="0"/>
  </w:style>
  <w:style w:type="character" w:customStyle="1" w:styleId="51">
    <w:name w:val="onlines2"/>
    <w:basedOn w:val="6"/>
    <w:qFormat/>
    <w:uiPriority w:val="0"/>
    <w:rPr>
      <w:color w:val="664422"/>
    </w:rPr>
  </w:style>
  <w:style w:type="character" w:customStyle="1" w:styleId="52">
    <w:name w:val="onlines3"/>
    <w:basedOn w:val="6"/>
    <w:qFormat/>
    <w:uiPriority w:val="0"/>
    <w:rPr>
      <w:color w:val="664422"/>
    </w:rPr>
  </w:style>
  <w:style w:type="character" w:customStyle="1" w:styleId="53">
    <w:name w:val="onlines4"/>
    <w:basedOn w:val="6"/>
    <w:qFormat/>
    <w:uiPriority w:val="0"/>
  </w:style>
  <w:style w:type="character" w:customStyle="1" w:styleId="54">
    <w:name w:val="g_fk"/>
    <w:basedOn w:val="6"/>
    <w:qFormat/>
    <w:uiPriority w:val="0"/>
  </w:style>
  <w:style w:type="character" w:customStyle="1" w:styleId="55">
    <w:name w:val="tip_huodao"/>
    <w:basedOn w:val="6"/>
    <w:qFormat/>
    <w:uiPriority w:val="0"/>
    <w:rPr>
      <w:color w:val="9A764F"/>
      <w:sz w:val="18"/>
      <w:szCs w:val="18"/>
      <w:bdr w:val="single" w:color="F4ECE4" w:sz="6" w:space="0"/>
      <w:shd w:val="clear" w:color="auto" w:fill="FFFAF5"/>
    </w:rPr>
  </w:style>
  <w:style w:type="character" w:customStyle="1" w:styleId="56">
    <w:name w:val="yj"/>
    <w:basedOn w:val="6"/>
    <w:qFormat/>
    <w:uiPriority w:val="0"/>
  </w:style>
  <w:style w:type="character" w:customStyle="1" w:styleId="57">
    <w:name w:val="live800"/>
    <w:basedOn w:val="6"/>
    <w:qFormat/>
    <w:uiPriority w:val="0"/>
  </w:style>
  <w:style w:type="character" w:customStyle="1" w:styleId="58">
    <w:name w:val="live8001"/>
    <w:basedOn w:val="6"/>
    <w:qFormat/>
    <w:uiPriority w:val="0"/>
  </w:style>
  <w:style w:type="character" w:customStyle="1" w:styleId="59">
    <w:name w:val="live8002"/>
    <w:basedOn w:val="6"/>
    <w:qFormat/>
    <w:uiPriority w:val="0"/>
  </w:style>
  <w:style w:type="character" w:customStyle="1" w:styleId="60">
    <w:name w:val="other"/>
    <w:basedOn w:val="6"/>
    <w:qFormat/>
    <w:uiPriority w:val="0"/>
  </w:style>
  <w:style w:type="character" w:customStyle="1" w:styleId="61">
    <w:name w:val="now"/>
    <w:basedOn w:val="6"/>
    <w:qFormat/>
    <w:uiPriority w:val="0"/>
  </w:style>
  <w:style w:type="character" w:customStyle="1" w:styleId="62">
    <w:name w:val="head_title_name1"/>
    <w:basedOn w:val="6"/>
    <w:qFormat/>
    <w:uiPriority w:val="0"/>
    <w:rPr>
      <w:color w:val="999999"/>
    </w:rPr>
  </w:style>
  <w:style w:type="character" w:customStyle="1" w:styleId="63">
    <w:name w:val="red"/>
    <w:basedOn w:val="6"/>
    <w:qFormat/>
    <w:uiPriority w:val="0"/>
    <w:rPr>
      <w:color w:val="CC3300"/>
    </w:rPr>
  </w:style>
  <w:style w:type="character" w:customStyle="1" w:styleId="64">
    <w:name w:val="gray19"/>
    <w:basedOn w:val="6"/>
    <w:qFormat/>
    <w:uiPriority w:val="0"/>
    <w:rPr>
      <w:color w:val="404040"/>
      <w:bdr w:val="single" w:color="B4B4B4" w:sz="6" w:space="0"/>
      <w:shd w:val="clear" w:color="auto" w:fill="EAEAEA"/>
    </w:rPr>
  </w:style>
  <w:style w:type="paragraph" w:customStyle="1" w:styleId="65">
    <w:name w:val="Pa13"/>
    <w:basedOn w:val="1"/>
    <w:next w:val="1"/>
    <w:qFormat/>
    <w:uiPriority w:val="99"/>
    <w:pPr>
      <w:autoSpaceDE w:val="0"/>
      <w:autoSpaceDN w:val="0"/>
      <w:adjustRightInd w:val="0"/>
      <w:spacing w:before="420" w:after="300" w:line="221" w:lineRule="atLeast"/>
      <w:jc w:val="left"/>
    </w:pPr>
    <w:rPr>
      <w:rFonts w:ascii="FZLanTingHei-M-GBK" w:hAnsi="Times New Roman" w:eastAsia="FZLanTingHei-M-GBK" w:cs="Times New Roman"/>
      <w:kern w:val="0"/>
      <w:sz w:val="24"/>
      <w:szCs w:val="24"/>
    </w:rPr>
  </w:style>
  <w:style w:type="paragraph" w:customStyle="1" w:styleId="66">
    <w:name w:val="Pa9"/>
    <w:basedOn w:val="1"/>
    <w:next w:val="1"/>
    <w:qFormat/>
    <w:uiPriority w:val="99"/>
    <w:pPr>
      <w:autoSpaceDE w:val="0"/>
      <w:autoSpaceDN w:val="0"/>
      <w:adjustRightInd w:val="0"/>
      <w:spacing w:line="191" w:lineRule="atLeast"/>
      <w:jc w:val="left"/>
    </w:pPr>
    <w:rPr>
      <w:rFonts w:ascii="FZLanTingHei-M-GBK" w:hAnsi="Times New Roman" w:eastAsia="FZLanTingHei-M-GBK" w:cs="Times New Roman"/>
      <w:kern w:val="0"/>
      <w:sz w:val="24"/>
      <w:szCs w:val="24"/>
    </w:rPr>
  </w:style>
  <w:style w:type="paragraph" w:customStyle="1" w:styleId="67">
    <w:name w:val="Pa20"/>
    <w:basedOn w:val="1"/>
    <w:next w:val="1"/>
    <w:qFormat/>
    <w:uiPriority w:val="99"/>
    <w:pPr>
      <w:autoSpaceDE w:val="0"/>
      <w:autoSpaceDN w:val="0"/>
      <w:adjustRightInd w:val="0"/>
      <w:spacing w:line="191" w:lineRule="atLeast"/>
      <w:jc w:val="left"/>
    </w:pPr>
    <w:rPr>
      <w:rFonts w:ascii="FZLanTingHei-M-GBK" w:hAnsi="Times New Roman" w:eastAsia="FZLanTingHei-M-GBK" w:cs="Times New Roman"/>
      <w:kern w:val="0"/>
      <w:sz w:val="24"/>
      <w:szCs w:val="24"/>
    </w:rPr>
  </w:style>
  <w:style w:type="character" w:customStyle="1" w:styleId="68">
    <w:name w:val="A12"/>
    <w:qFormat/>
    <w:uiPriority w:val="99"/>
    <w:rPr>
      <w:rFonts w:ascii="Kenten" w:eastAsia="Kenten" w:cs="Kenten"/>
      <w:color w:val="211714"/>
      <w:sz w:val="4"/>
      <w:szCs w:val="4"/>
    </w:rPr>
  </w:style>
  <w:style w:type="paragraph" w:customStyle="1" w:styleId="69">
    <w:name w:val="Pa6"/>
    <w:basedOn w:val="1"/>
    <w:next w:val="1"/>
    <w:qFormat/>
    <w:uiPriority w:val="99"/>
    <w:pPr>
      <w:autoSpaceDE w:val="0"/>
      <w:autoSpaceDN w:val="0"/>
      <w:adjustRightInd w:val="0"/>
      <w:spacing w:line="241" w:lineRule="atLeast"/>
      <w:jc w:val="left"/>
    </w:pPr>
    <w:rPr>
      <w:rFonts w:ascii="FZLanTingHei-M-GBK" w:hAnsi="Times New Roman" w:eastAsia="FZLanTingHei-M-GBK" w:cs="Times New Roman"/>
      <w:kern w:val="0"/>
      <w:sz w:val="24"/>
      <w:szCs w:val="24"/>
    </w:rPr>
  </w:style>
  <w:style w:type="character" w:customStyle="1" w:styleId="70">
    <w:name w:val="A4"/>
    <w:qFormat/>
    <w:uiPriority w:val="99"/>
    <w:rPr>
      <w:rFonts w:ascii="FZXiDengXian-Z06" w:eastAsia="FZXiDengXian-Z06" w:cs="FZXiDengXian-Z06"/>
      <w:color w:val="211714"/>
      <w:sz w:val="18"/>
      <w:szCs w:val="18"/>
    </w:rPr>
  </w:style>
  <w:style w:type="character" w:customStyle="1" w:styleId="71">
    <w:name w:val="A10"/>
    <w:qFormat/>
    <w:uiPriority w:val="99"/>
    <w:rPr>
      <w:rFonts w:ascii="FZKai-Z03" w:eastAsia="FZKai-Z03" w:cs="FZKai-Z03"/>
      <w:color w:val="211714"/>
      <w:sz w:val="11"/>
      <w:szCs w:val="11"/>
    </w:rPr>
  </w:style>
  <w:style w:type="paragraph" w:styleId="7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1506</Words>
  <Characters>8587</Characters>
  <Lines>71</Lines>
  <Paragraphs>20</Paragraphs>
  <TotalTime>702</TotalTime>
  <ScaleCrop>false</ScaleCrop>
  <LinksUpToDate>false</LinksUpToDate>
  <CharactersWithSpaces>10073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2018-08-30T10:55:00Z</dcterms:created>
  <dc:creator>user</dc:creator>
  <cp:lastModifiedBy>良稹</cp:lastModifiedBy>
  <dcterms:modified xsi:type="dcterms:W3CDTF">2018-09-26T05:44:07Z</dcterms:modified>
  <dc:title>中华书局</dc:title>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